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BE" w:rsidRPr="009644FA" w:rsidRDefault="00A179B8" w:rsidP="00502FBE">
      <w:pPr>
        <w:spacing w:before="100" w:beforeAutospacing="1" w:after="100" w:afterAutospacing="1"/>
        <w:rPr>
          <w:color w:val="000000"/>
        </w:rPr>
      </w:pPr>
      <w:bookmarkStart w:id="0" w:name="_GoBack"/>
      <w:bookmarkEnd w:id="0"/>
      <w:r>
        <w:rPr>
          <w:b/>
          <w:bCs/>
          <w:color w:val="000000"/>
        </w:rPr>
        <w:t xml:space="preserve">1. </w:t>
      </w:r>
      <w:r w:rsidR="00502FBE" w:rsidRPr="009644FA">
        <w:rPr>
          <w:b/>
          <w:bCs/>
          <w:color w:val="000000"/>
        </w:rPr>
        <w:t>What is a Dietary Supplement?</w:t>
      </w:r>
    </w:p>
    <w:p w:rsidR="00502FBE" w:rsidRPr="009F7608" w:rsidRDefault="00502FBE" w:rsidP="00502FBE">
      <w:pPr>
        <w:spacing w:before="100" w:beforeAutospacing="1" w:after="100" w:afterAutospacing="1"/>
        <w:rPr>
          <w:rFonts w:asciiTheme="minorHAnsi" w:hAnsiTheme="minorHAnsi" w:cstheme="minorHAnsi"/>
          <w:color w:val="000000"/>
          <w:sz w:val="22"/>
          <w:szCs w:val="22"/>
        </w:rPr>
      </w:pPr>
      <w:r w:rsidRPr="009F7608">
        <w:rPr>
          <w:rFonts w:asciiTheme="minorHAnsi" w:hAnsiTheme="minorHAnsi" w:cstheme="minorHAnsi"/>
          <w:color w:val="000000"/>
          <w:sz w:val="22"/>
          <w:szCs w:val="22"/>
        </w:rPr>
        <w:t xml:space="preserve">There are numerous preparations that are marketed in the U.S. as dietary supplements.  </w:t>
      </w:r>
      <w:r w:rsidR="00175380" w:rsidRPr="009F7608">
        <w:rPr>
          <w:rFonts w:asciiTheme="minorHAnsi" w:hAnsiTheme="minorHAnsi" w:cstheme="minorHAnsi"/>
          <w:color w:val="000000"/>
          <w:sz w:val="22"/>
          <w:szCs w:val="22"/>
        </w:rPr>
        <w:t>The definition of dietary supplements u</w:t>
      </w:r>
      <w:r w:rsidR="00175380" w:rsidRPr="00175380">
        <w:rPr>
          <w:rFonts w:asciiTheme="minorHAnsi" w:eastAsiaTheme="minorHAnsi" w:hAnsiTheme="minorHAnsi" w:cstheme="minorHAnsi"/>
          <w:color w:val="000000"/>
          <w:sz w:val="22"/>
          <w:szCs w:val="22"/>
        </w:rPr>
        <w:t>nder the Dietary Supplement Health and Education Act (DSHEA) of 1994</w:t>
      </w:r>
      <w:r w:rsidR="00A92D78" w:rsidRPr="009F7608">
        <w:rPr>
          <w:rFonts w:asciiTheme="minorHAnsi" w:eastAsiaTheme="minorHAnsi" w:hAnsiTheme="minorHAnsi" w:cstheme="minorHAnsi"/>
          <w:color w:val="000000"/>
          <w:sz w:val="22"/>
          <w:szCs w:val="22"/>
        </w:rPr>
        <w:t xml:space="preserve"> includes:</w:t>
      </w:r>
    </w:p>
    <w:p w:rsidR="00502FBE" w:rsidRPr="009F7608" w:rsidRDefault="00502FBE" w:rsidP="00502FBE">
      <w:pPr>
        <w:numPr>
          <w:ilvl w:val="0"/>
          <w:numId w:val="1"/>
        </w:numPr>
        <w:spacing w:before="100" w:beforeAutospacing="1" w:after="100" w:afterAutospacing="1"/>
        <w:rPr>
          <w:rFonts w:asciiTheme="minorHAnsi" w:hAnsiTheme="minorHAnsi" w:cstheme="minorHAnsi"/>
          <w:color w:val="000000"/>
          <w:sz w:val="22"/>
          <w:szCs w:val="22"/>
        </w:rPr>
      </w:pPr>
      <w:r w:rsidRPr="009F7608">
        <w:rPr>
          <w:rFonts w:asciiTheme="minorHAnsi" w:hAnsiTheme="minorHAnsi" w:cstheme="minorHAnsi"/>
          <w:color w:val="000000"/>
          <w:sz w:val="22"/>
          <w:szCs w:val="22"/>
        </w:rPr>
        <w:t xml:space="preserve">A dietary supplement is a product taken by mouth that </w:t>
      </w:r>
      <w:r w:rsidR="00D13C66" w:rsidRPr="009F7608">
        <w:rPr>
          <w:rFonts w:asciiTheme="minorHAnsi" w:hAnsiTheme="minorHAnsi" w:cstheme="minorHAnsi"/>
          <w:color w:val="000000"/>
          <w:sz w:val="22"/>
          <w:szCs w:val="22"/>
        </w:rPr>
        <w:t xml:space="preserve">is intended to supplement the diet </w:t>
      </w:r>
      <w:r w:rsidR="00D13C66" w:rsidRPr="00175380">
        <w:rPr>
          <w:rFonts w:asciiTheme="minorHAnsi" w:eastAsiaTheme="minorHAnsi" w:hAnsiTheme="minorHAnsi" w:cstheme="minorHAnsi"/>
          <w:color w:val="000000"/>
          <w:sz w:val="22"/>
          <w:szCs w:val="22"/>
        </w:rPr>
        <w:t>and that contains a dietary ingredient</w:t>
      </w:r>
      <w:r w:rsidR="00D13C66" w:rsidRPr="009F7608">
        <w:rPr>
          <w:rFonts w:asciiTheme="minorHAnsi" w:eastAsiaTheme="minorHAnsi" w:hAnsiTheme="minorHAnsi" w:cstheme="minorHAnsi"/>
          <w:color w:val="000000"/>
          <w:sz w:val="22"/>
          <w:szCs w:val="22"/>
        </w:rPr>
        <w:t>.</w:t>
      </w:r>
    </w:p>
    <w:p w:rsidR="00502FBE" w:rsidRPr="009F7608" w:rsidRDefault="00502FBE" w:rsidP="00502FBE">
      <w:pPr>
        <w:numPr>
          <w:ilvl w:val="0"/>
          <w:numId w:val="1"/>
        </w:numPr>
        <w:spacing w:before="100" w:beforeAutospacing="1" w:after="100" w:afterAutospacing="1"/>
        <w:rPr>
          <w:rFonts w:asciiTheme="minorHAnsi" w:hAnsiTheme="minorHAnsi" w:cstheme="minorHAnsi"/>
          <w:color w:val="000000"/>
          <w:sz w:val="22"/>
          <w:szCs w:val="22"/>
        </w:rPr>
      </w:pPr>
      <w:r w:rsidRPr="009F7608">
        <w:rPr>
          <w:rFonts w:asciiTheme="minorHAnsi" w:hAnsiTheme="minorHAnsi" w:cstheme="minorHAnsi"/>
          <w:color w:val="000000"/>
          <w:sz w:val="22"/>
          <w:szCs w:val="22"/>
        </w:rPr>
        <w:t xml:space="preserve">The dietary ingredients in these products may include: vitamins, minerals, herbs or other botanicals, amino acids, and substances such as enzymes, organ tissues, </w:t>
      </w:r>
      <w:proofErr w:type="spellStart"/>
      <w:r w:rsidRPr="009F7608">
        <w:rPr>
          <w:rFonts w:asciiTheme="minorHAnsi" w:hAnsiTheme="minorHAnsi" w:cstheme="minorHAnsi"/>
          <w:color w:val="000000"/>
          <w:sz w:val="22"/>
          <w:szCs w:val="22"/>
        </w:rPr>
        <w:t>glandulars</w:t>
      </w:r>
      <w:proofErr w:type="spellEnd"/>
      <w:r w:rsidRPr="009F7608">
        <w:rPr>
          <w:rFonts w:asciiTheme="minorHAnsi" w:hAnsiTheme="minorHAnsi" w:cstheme="minorHAnsi"/>
          <w:color w:val="000000"/>
          <w:sz w:val="22"/>
          <w:szCs w:val="22"/>
        </w:rPr>
        <w:t>, and metabolites.  </w:t>
      </w:r>
    </w:p>
    <w:p w:rsidR="00502FBE" w:rsidRPr="009F7608" w:rsidRDefault="00502FBE" w:rsidP="00D13C66">
      <w:pPr>
        <w:numPr>
          <w:ilvl w:val="0"/>
          <w:numId w:val="1"/>
        </w:numPr>
        <w:spacing w:before="100" w:beforeAutospacing="1" w:after="100" w:afterAutospacing="1"/>
        <w:rPr>
          <w:rFonts w:asciiTheme="minorHAnsi" w:hAnsiTheme="minorHAnsi" w:cstheme="minorHAnsi"/>
          <w:color w:val="000000"/>
          <w:sz w:val="22"/>
          <w:szCs w:val="22"/>
        </w:rPr>
      </w:pPr>
      <w:r w:rsidRPr="009F7608">
        <w:rPr>
          <w:rFonts w:asciiTheme="minorHAnsi" w:hAnsiTheme="minorHAnsi" w:cstheme="minorHAnsi"/>
          <w:color w:val="000000"/>
          <w:sz w:val="22"/>
          <w:szCs w:val="22"/>
        </w:rPr>
        <w:t xml:space="preserve">Dietary supplements can also be extracts or concentrates, and may be found in many forms such as tablets, capsules, </w:t>
      </w:r>
      <w:proofErr w:type="spellStart"/>
      <w:r w:rsidRPr="009F7608">
        <w:rPr>
          <w:rFonts w:asciiTheme="minorHAnsi" w:hAnsiTheme="minorHAnsi" w:cstheme="minorHAnsi"/>
          <w:color w:val="000000"/>
          <w:sz w:val="22"/>
          <w:szCs w:val="22"/>
        </w:rPr>
        <w:t>softgels</w:t>
      </w:r>
      <w:proofErr w:type="spellEnd"/>
      <w:r w:rsidRPr="009F7608">
        <w:rPr>
          <w:rFonts w:asciiTheme="minorHAnsi" w:hAnsiTheme="minorHAnsi" w:cstheme="minorHAnsi"/>
          <w:color w:val="000000"/>
          <w:sz w:val="22"/>
          <w:szCs w:val="22"/>
        </w:rPr>
        <w:t xml:space="preserve">, </w:t>
      </w:r>
      <w:proofErr w:type="spellStart"/>
      <w:r w:rsidRPr="009F7608">
        <w:rPr>
          <w:rFonts w:asciiTheme="minorHAnsi" w:hAnsiTheme="minorHAnsi" w:cstheme="minorHAnsi"/>
          <w:color w:val="000000"/>
          <w:sz w:val="22"/>
          <w:szCs w:val="22"/>
        </w:rPr>
        <w:t>gelcaps</w:t>
      </w:r>
      <w:proofErr w:type="spellEnd"/>
      <w:r w:rsidRPr="009F7608">
        <w:rPr>
          <w:rFonts w:asciiTheme="minorHAnsi" w:hAnsiTheme="minorHAnsi" w:cstheme="minorHAnsi"/>
          <w:color w:val="000000"/>
          <w:sz w:val="22"/>
          <w:szCs w:val="22"/>
        </w:rPr>
        <w:t>, liquids or powders.  </w:t>
      </w:r>
    </w:p>
    <w:p w:rsidR="00175380" w:rsidRPr="009F7608" w:rsidRDefault="00175380" w:rsidP="00175380">
      <w:pPr>
        <w:spacing w:before="100" w:beforeAutospacing="1" w:after="100" w:afterAutospacing="1"/>
        <w:rPr>
          <w:rFonts w:asciiTheme="minorHAnsi" w:hAnsiTheme="minorHAnsi" w:cstheme="minorHAnsi"/>
          <w:color w:val="000000"/>
          <w:sz w:val="22"/>
          <w:szCs w:val="22"/>
        </w:rPr>
      </w:pPr>
      <w:r w:rsidRPr="009F7608">
        <w:rPr>
          <w:rFonts w:asciiTheme="minorHAnsi" w:eastAsiaTheme="minorHAnsi" w:hAnsiTheme="minorHAnsi" w:cstheme="minorHAnsi"/>
          <w:sz w:val="22"/>
          <w:szCs w:val="22"/>
        </w:rPr>
        <w:t>Under DSHEA, a dietary supplement is not considered a drug and is not subject to the premarket approval requirements for drugs if the intended use for which it is marketed is only to affect the structure or any function of the body (i.e., not intended to be used for a therapeutic purpose).</w:t>
      </w:r>
    </w:p>
    <w:p w:rsidR="00502FBE" w:rsidRPr="00B55040" w:rsidRDefault="00A179B8" w:rsidP="009F7608">
      <w:pPr>
        <w:rPr>
          <w:b/>
        </w:rPr>
      </w:pPr>
      <w:r>
        <w:rPr>
          <w:b/>
          <w:color w:val="000000"/>
        </w:rPr>
        <w:t>2</w:t>
      </w:r>
      <w:r w:rsidR="00502FBE" w:rsidRPr="00B55040">
        <w:rPr>
          <w:b/>
          <w:color w:val="000000"/>
        </w:rPr>
        <w:t>. </w:t>
      </w:r>
      <w:r>
        <w:rPr>
          <w:b/>
          <w:color w:val="000000"/>
        </w:rPr>
        <w:t>If</w:t>
      </w:r>
      <w:r w:rsidR="00502FBE" w:rsidRPr="00B55040">
        <w:rPr>
          <w:b/>
        </w:rPr>
        <w:t xml:space="preserve"> </w:t>
      </w:r>
      <w:r w:rsidR="00B27776">
        <w:rPr>
          <w:b/>
        </w:rPr>
        <w:t xml:space="preserve">a </w:t>
      </w:r>
      <w:r w:rsidR="00502FBE" w:rsidRPr="00B55040">
        <w:rPr>
          <w:b/>
        </w:rPr>
        <w:t>dietary supplement</w:t>
      </w:r>
      <w:r w:rsidR="00B27776">
        <w:rPr>
          <w:b/>
        </w:rPr>
        <w:t xml:space="preserve">, which is available </w:t>
      </w:r>
      <w:r w:rsidR="00A258B6">
        <w:rPr>
          <w:b/>
        </w:rPr>
        <w:t>without a prescription</w:t>
      </w:r>
      <w:r w:rsidR="00B27776">
        <w:rPr>
          <w:b/>
        </w:rPr>
        <w:t xml:space="preserve">, </w:t>
      </w:r>
      <w:r>
        <w:rPr>
          <w:b/>
        </w:rPr>
        <w:t xml:space="preserve">is used in a research study, is </w:t>
      </w:r>
      <w:r w:rsidR="00502FBE" w:rsidRPr="00B55040">
        <w:rPr>
          <w:b/>
        </w:rPr>
        <w:t>an IND</w:t>
      </w:r>
      <w:r>
        <w:rPr>
          <w:b/>
        </w:rPr>
        <w:t xml:space="preserve"> needed</w:t>
      </w:r>
      <w:r w:rsidR="00502FBE" w:rsidRPr="00B55040">
        <w:rPr>
          <w:b/>
        </w:rPr>
        <w:t>?</w:t>
      </w:r>
    </w:p>
    <w:p w:rsidR="009F7608" w:rsidRDefault="009F7608" w:rsidP="009F7608">
      <w:pPr>
        <w:autoSpaceDE w:val="0"/>
        <w:autoSpaceDN w:val="0"/>
        <w:adjustRightInd w:val="0"/>
        <w:rPr>
          <w:rFonts w:eastAsiaTheme="minorHAnsi"/>
          <w:sz w:val="23"/>
          <w:szCs w:val="23"/>
        </w:rPr>
      </w:pPr>
    </w:p>
    <w:p w:rsidR="00296824" w:rsidRDefault="009F7608" w:rsidP="009F7608">
      <w:pPr>
        <w:autoSpaceDE w:val="0"/>
        <w:autoSpaceDN w:val="0"/>
        <w:adjustRightInd w:val="0"/>
        <w:rPr>
          <w:rFonts w:asciiTheme="minorHAnsi" w:eastAsiaTheme="minorHAnsi" w:hAnsiTheme="minorHAnsi" w:cstheme="minorHAnsi"/>
          <w:sz w:val="22"/>
          <w:szCs w:val="22"/>
        </w:rPr>
      </w:pPr>
      <w:r w:rsidRPr="009F7608">
        <w:rPr>
          <w:rFonts w:asciiTheme="minorHAnsi" w:eastAsiaTheme="minorHAnsi" w:hAnsiTheme="minorHAnsi" w:cstheme="minorHAnsi"/>
          <w:sz w:val="22"/>
          <w:szCs w:val="22"/>
        </w:rPr>
        <w:t>Whether an IND is needed for a clinical investigation evaluating a dietary supplement is determined by the intent of the clinical investigation. If the clinical investigation is intended only to evaluate the dietary supplement’s effect on the structure or function of the body, an IND is not required. However, if the clinical investigation is intended to evaluate the dietary supplement’s ability to diagnose, cure, mitigate, treat, or prevent a disease,</w:t>
      </w:r>
      <w:r w:rsidRPr="009F7608">
        <w:rPr>
          <w:rFonts w:asciiTheme="minorHAnsi" w:eastAsiaTheme="minorHAnsi" w:hAnsiTheme="minorHAnsi" w:cstheme="minorHAnsi"/>
          <w:position w:val="11"/>
          <w:sz w:val="22"/>
          <w:szCs w:val="22"/>
          <w:vertAlign w:val="superscript"/>
        </w:rPr>
        <w:t xml:space="preserve"> </w:t>
      </w:r>
      <w:r w:rsidRPr="009F7608">
        <w:rPr>
          <w:rFonts w:asciiTheme="minorHAnsi" w:eastAsiaTheme="minorHAnsi" w:hAnsiTheme="minorHAnsi" w:cstheme="minorHAnsi"/>
          <w:sz w:val="22"/>
          <w:szCs w:val="22"/>
        </w:rPr>
        <w:t xml:space="preserve">an IND is required under part 312. </w:t>
      </w:r>
    </w:p>
    <w:p w:rsidR="009F7608" w:rsidRDefault="009F7608" w:rsidP="009F7608">
      <w:pPr>
        <w:autoSpaceDE w:val="0"/>
        <w:autoSpaceDN w:val="0"/>
        <w:adjustRightInd w:val="0"/>
        <w:rPr>
          <w:rFonts w:asciiTheme="minorHAnsi" w:eastAsiaTheme="minorHAnsi" w:hAnsiTheme="minorHAnsi" w:cstheme="minorHAnsi"/>
          <w:sz w:val="22"/>
          <w:szCs w:val="22"/>
        </w:rPr>
      </w:pPr>
      <w:r w:rsidRPr="009F7608">
        <w:rPr>
          <w:rFonts w:asciiTheme="minorHAnsi" w:eastAsiaTheme="minorHAnsi" w:hAnsiTheme="minorHAnsi" w:cstheme="minorHAnsi"/>
          <w:sz w:val="22"/>
          <w:szCs w:val="22"/>
        </w:rPr>
        <w:t>For example, a clinical investigation designed to study the relationship between a dietary supplement’s effect on normal structure or function in humans (e.g., calcium and bone mass) or to characterize the mechanism by which a dietary supplement acts to maintain such structure or function (e.g., fiber and bowel regularity) would not need to be conducted under an IND. However, a clinical investigation designed to evaluate a dietary supplement’s ability to prevent osteoporosis or to treat diarrhea or constipation would need to be conducted under an IND under part 312.</w:t>
      </w:r>
    </w:p>
    <w:p w:rsidR="00296824" w:rsidRPr="009F7608" w:rsidRDefault="00296824" w:rsidP="009F7608">
      <w:pPr>
        <w:autoSpaceDE w:val="0"/>
        <w:autoSpaceDN w:val="0"/>
        <w:adjustRightInd w:val="0"/>
        <w:rPr>
          <w:rFonts w:asciiTheme="minorHAnsi" w:hAnsiTheme="minorHAnsi" w:cstheme="minorHAnsi"/>
          <w:color w:val="333333"/>
          <w:sz w:val="22"/>
          <w:szCs w:val="22"/>
        </w:rPr>
      </w:pPr>
      <w:r w:rsidRPr="009F7608">
        <w:rPr>
          <w:rFonts w:asciiTheme="minorHAnsi" w:hAnsiTheme="minorHAnsi" w:cstheme="minorHAnsi"/>
          <w:color w:val="000000"/>
          <w:sz w:val="22"/>
          <w:szCs w:val="22"/>
        </w:rPr>
        <w:t xml:space="preserve">See FDA Guidance </w:t>
      </w:r>
      <w:hyperlink r:id="rId7" w:history="1">
        <w:r w:rsidRPr="009F7608">
          <w:rPr>
            <w:rStyle w:val="Hyperlink"/>
            <w:rFonts w:asciiTheme="minorHAnsi" w:hAnsiTheme="minorHAnsi" w:cstheme="minorHAnsi"/>
            <w:sz w:val="22"/>
            <w:szCs w:val="22"/>
          </w:rPr>
          <w:t>IND Determination</w:t>
        </w:r>
      </w:hyperlink>
      <w:r w:rsidRPr="009F7608">
        <w:rPr>
          <w:rFonts w:asciiTheme="minorHAnsi" w:hAnsiTheme="minorHAnsi" w:cstheme="minorHAnsi"/>
          <w:color w:val="333333"/>
          <w:sz w:val="22"/>
          <w:szCs w:val="22"/>
        </w:rPr>
        <w:t xml:space="preserve"> for further information.</w:t>
      </w:r>
    </w:p>
    <w:p w:rsidR="009F7608" w:rsidRDefault="009F7608" w:rsidP="00502FBE">
      <w:pPr>
        <w:pStyle w:val="NormalWeb"/>
        <w:rPr>
          <w:b/>
          <w:color w:val="000000"/>
        </w:rPr>
      </w:pPr>
      <w:r w:rsidRPr="009F7608">
        <w:rPr>
          <w:b/>
          <w:color w:val="000000"/>
        </w:rPr>
        <w:t>3. How is it determined if the dietary supp</w:t>
      </w:r>
      <w:r>
        <w:rPr>
          <w:b/>
          <w:color w:val="000000"/>
        </w:rPr>
        <w:t>lement is being used as a drug?</w:t>
      </w:r>
    </w:p>
    <w:p w:rsidR="00296824" w:rsidRDefault="00296824" w:rsidP="00296824">
      <w:pPr>
        <w:autoSpaceDE w:val="0"/>
        <w:autoSpaceDN w:val="0"/>
        <w:adjustRightInd w:val="0"/>
        <w:rPr>
          <w:rFonts w:asciiTheme="minorHAnsi" w:hAnsiTheme="minorHAnsi" w:cstheme="minorHAnsi"/>
          <w:color w:val="333333"/>
          <w:sz w:val="22"/>
          <w:szCs w:val="22"/>
        </w:rPr>
      </w:pPr>
      <w:r w:rsidRPr="009F7608">
        <w:rPr>
          <w:rFonts w:asciiTheme="minorHAnsi" w:hAnsiTheme="minorHAnsi" w:cstheme="minorHAnsi"/>
          <w:sz w:val="22"/>
          <w:szCs w:val="22"/>
        </w:rPr>
        <w:t>The FD&amp;C Act defines drugs, in part, by their intended use, as "articles intended for use in the diagnosis, cure, mitigation, treatment, or prevention of disease".</w:t>
      </w:r>
      <w:r w:rsidRPr="009F7608">
        <w:rPr>
          <w:rFonts w:asciiTheme="minorHAnsi" w:eastAsiaTheme="minorHAnsi" w:hAnsiTheme="minorHAnsi" w:cstheme="minorHAnsi"/>
          <w:sz w:val="22"/>
          <w:szCs w:val="22"/>
        </w:rPr>
        <w:t xml:space="preserve"> </w:t>
      </w:r>
    </w:p>
    <w:p w:rsidR="00296824" w:rsidRPr="009F7608" w:rsidRDefault="00BE42B7" w:rsidP="00296824">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000000"/>
          <w:sz w:val="22"/>
          <w:szCs w:val="22"/>
        </w:rPr>
        <w:t>If a lawfully marketed</w:t>
      </w:r>
      <w:r w:rsidR="00296824" w:rsidRPr="009F7608">
        <w:rPr>
          <w:rFonts w:asciiTheme="minorHAnsi" w:hAnsiTheme="minorHAnsi" w:cstheme="minorHAnsi"/>
          <w:color w:val="000000"/>
          <w:sz w:val="22"/>
          <w:szCs w:val="22"/>
        </w:rPr>
        <w:t xml:space="preserve"> dietary supplement is studied for its effects on diseases in the proposed investigation (i.e., to cure, treat, mitigate, prevent, or diagnose disease including its associated symptoms), then it is considered an investigational new drug and will be subject to IND requirements.  </w:t>
      </w:r>
    </w:p>
    <w:p w:rsidR="00502FBE" w:rsidRDefault="00DE26D2" w:rsidP="00502FBE">
      <w:pPr>
        <w:pStyle w:val="NormalWeb"/>
        <w:rPr>
          <w:color w:val="000000"/>
        </w:rPr>
      </w:pPr>
      <w:r>
        <w:rPr>
          <w:b/>
          <w:bCs/>
          <w:color w:val="000000"/>
        </w:rPr>
        <w:t>4</w:t>
      </w:r>
      <w:r w:rsidR="00502FBE">
        <w:rPr>
          <w:b/>
          <w:bCs/>
          <w:color w:val="000000"/>
        </w:rPr>
        <w:t xml:space="preserve">. </w:t>
      </w:r>
      <w:r w:rsidR="00A179B8">
        <w:rPr>
          <w:b/>
          <w:bCs/>
          <w:color w:val="000000"/>
        </w:rPr>
        <w:t xml:space="preserve">If a study is </w:t>
      </w:r>
      <w:r w:rsidR="00502FBE">
        <w:rPr>
          <w:b/>
          <w:bCs/>
          <w:color w:val="000000"/>
        </w:rPr>
        <w:t xml:space="preserve">evaluating the uses </w:t>
      </w:r>
      <w:r w:rsidR="00502FBE" w:rsidRPr="00E21816">
        <w:rPr>
          <w:b/>
          <w:bCs/>
          <w:color w:val="000000"/>
        </w:rPr>
        <w:t xml:space="preserve">of </w:t>
      </w:r>
      <w:r w:rsidR="00502FBE">
        <w:rPr>
          <w:b/>
          <w:bCs/>
          <w:color w:val="000000"/>
        </w:rPr>
        <w:t>dietary supplement as dietary supplements</w:t>
      </w:r>
      <w:r w:rsidR="00A179B8">
        <w:rPr>
          <w:b/>
          <w:bCs/>
          <w:color w:val="000000"/>
        </w:rPr>
        <w:t xml:space="preserve"> is an IND required</w:t>
      </w:r>
      <w:r w:rsidR="00502FBE">
        <w:rPr>
          <w:b/>
          <w:bCs/>
          <w:color w:val="000000"/>
        </w:rPr>
        <w:t>?</w:t>
      </w:r>
    </w:p>
    <w:p w:rsidR="00502FBE" w:rsidRPr="009F7608" w:rsidRDefault="00502FBE" w:rsidP="00502FBE">
      <w:pPr>
        <w:pStyle w:val="NormalWeb"/>
        <w:rPr>
          <w:rFonts w:asciiTheme="minorHAnsi" w:hAnsiTheme="minorHAnsi" w:cstheme="minorHAnsi"/>
          <w:color w:val="000000"/>
          <w:sz w:val="22"/>
          <w:szCs w:val="22"/>
        </w:rPr>
      </w:pPr>
      <w:r w:rsidRPr="009F7608">
        <w:rPr>
          <w:rFonts w:asciiTheme="minorHAnsi" w:hAnsiTheme="minorHAnsi" w:cstheme="minorHAnsi"/>
          <w:color w:val="000000"/>
          <w:sz w:val="22"/>
          <w:szCs w:val="22"/>
        </w:rPr>
        <w:t>No. </w:t>
      </w:r>
      <w:r w:rsidR="00E21816">
        <w:rPr>
          <w:rFonts w:asciiTheme="minorHAnsi" w:hAnsiTheme="minorHAnsi" w:cstheme="minorHAnsi"/>
          <w:color w:val="000000"/>
          <w:sz w:val="22"/>
          <w:szCs w:val="22"/>
        </w:rPr>
        <w:t xml:space="preserve"> </w:t>
      </w:r>
      <w:r w:rsidRPr="009F7608">
        <w:rPr>
          <w:rFonts w:asciiTheme="minorHAnsi" w:hAnsiTheme="minorHAnsi" w:cstheme="minorHAnsi"/>
          <w:color w:val="000000"/>
          <w:sz w:val="22"/>
          <w:szCs w:val="22"/>
        </w:rPr>
        <w:t xml:space="preserve">When a lawfully marketed dietary supplement is studied for its dietary supplement use (i.e., structure and/or function claims), an IND is not required.  Structure and function claims are statements </w:t>
      </w:r>
      <w:r w:rsidRPr="009F7608">
        <w:rPr>
          <w:rFonts w:asciiTheme="minorHAnsi" w:hAnsiTheme="minorHAnsi" w:cstheme="minorHAnsi"/>
          <w:color w:val="000000"/>
          <w:sz w:val="22"/>
          <w:szCs w:val="22"/>
        </w:rPr>
        <w:lastRenderedPageBreak/>
        <w:t xml:space="preserve">that describe the effect a dietary supplement may have on the structure or function of the human body.  Refer to </w:t>
      </w:r>
      <w:hyperlink r:id="rId8" w:history="1">
        <w:r w:rsidR="00A179B8" w:rsidRPr="00BB0C8C">
          <w:rPr>
            <w:rStyle w:val="Hyperlink"/>
            <w:rFonts w:asciiTheme="minorHAnsi" w:hAnsiTheme="minorHAnsi" w:cstheme="minorHAnsi"/>
            <w:sz w:val="22"/>
            <w:szCs w:val="22"/>
          </w:rPr>
          <w:t xml:space="preserve">FDA Guidance </w:t>
        </w:r>
        <w:r w:rsidRPr="00BB0C8C">
          <w:rPr>
            <w:rStyle w:val="Hyperlink"/>
            <w:rFonts w:asciiTheme="minorHAnsi" w:hAnsiTheme="minorHAnsi" w:cstheme="minorHAnsi"/>
            <w:sz w:val="22"/>
            <w:szCs w:val="22"/>
          </w:rPr>
          <w:t>Structure/Function Claims, Small Entity Compliance Guide</w:t>
        </w:r>
      </w:hyperlink>
      <w:r w:rsidRPr="009F7608">
        <w:rPr>
          <w:rFonts w:asciiTheme="minorHAnsi" w:hAnsiTheme="minorHAnsi" w:cstheme="minorHAnsi"/>
          <w:color w:val="000000"/>
          <w:sz w:val="22"/>
          <w:szCs w:val="22"/>
        </w:rPr>
        <w:t xml:space="preserve"> for further information. </w:t>
      </w:r>
    </w:p>
    <w:p w:rsidR="00A179B8" w:rsidRDefault="00DE26D2" w:rsidP="00502FBE">
      <w:pPr>
        <w:pStyle w:val="NormalWeb"/>
        <w:rPr>
          <w:b/>
          <w:color w:val="000000"/>
        </w:rPr>
      </w:pPr>
      <w:r w:rsidRPr="00E21816">
        <w:rPr>
          <w:b/>
          <w:color w:val="000000"/>
        </w:rPr>
        <w:t>5</w:t>
      </w:r>
      <w:r w:rsidR="00A179B8" w:rsidRPr="00E21816">
        <w:rPr>
          <w:b/>
          <w:color w:val="000000"/>
        </w:rPr>
        <w:t>. Can</w:t>
      </w:r>
      <w:r w:rsidR="00A179B8" w:rsidRPr="00A179B8">
        <w:rPr>
          <w:b/>
          <w:color w:val="000000"/>
        </w:rPr>
        <w:t xml:space="preserve"> the use of a dietary supplement in a research </w:t>
      </w:r>
      <w:r w:rsidR="00296824">
        <w:rPr>
          <w:b/>
          <w:color w:val="000000"/>
        </w:rPr>
        <w:t xml:space="preserve">study </w:t>
      </w:r>
      <w:r w:rsidR="00A179B8" w:rsidRPr="00A179B8">
        <w:rPr>
          <w:b/>
          <w:color w:val="000000"/>
        </w:rPr>
        <w:t>qualify for an IND exemption?</w:t>
      </w:r>
    </w:p>
    <w:p w:rsidR="00A179B8" w:rsidRDefault="00A179B8" w:rsidP="009F7608">
      <w:pPr>
        <w:spacing w:before="100" w:beforeAutospacing="1" w:after="100" w:afterAutospacing="1"/>
        <w:rPr>
          <w:rFonts w:asciiTheme="minorHAnsi" w:hAnsiTheme="minorHAnsi" w:cstheme="minorHAnsi"/>
          <w:b/>
          <w:color w:val="000000"/>
          <w:sz w:val="22"/>
          <w:szCs w:val="22"/>
        </w:rPr>
      </w:pPr>
      <w:r w:rsidRPr="00296824">
        <w:rPr>
          <w:rFonts w:asciiTheme="minorHAnsi" w:hAnsiTheme="minorHAnsi" w:cstheme="minorHAnsi"/>
          <w:color w:val="000000"/>
          <w:sz w:val="22"/>
          <w:szCs w:val="22"/>
        </w:rPr>
        <w:t>No. The criteria for IND exemption require that t</w:t>
      </w:r>
      <w:r w:rsidRPr="006F0337">
        <w:rPr>
          <w:rFonts w:asciiTheme="minorHAnsi" w:hAnsiTheme="minorHAnsi" w:cstheme="minorHAnsi"/>
          <w:color w:val="000000"/>
          <w:sz w:val="22"/>
          <w:szCs w:val="22"/>
        </w:rPr>
        <w:t xml:space="preserve">he drug product is lawfully marketed </w:t>
      </w:r>
      <w:r w:rsidR="00BE42B7">
        <w:rPr>
          <w:rFonts w:asciiTheme="minorHAnsi" w:hAnsiTheme="minorHAnsi" w:cstheme="minorHAnsi"/>
          <w:color w:val="000000"/>
          <w:sz w:val="22"/>
          <w:szCs w:val="22"/>
        </w:rPr>
        <w:t xml:space="preserve">as an FDA approved drug </w:t>
      </w:r>
      <w:r w:rsidRPr="006F0337">
        <w:rPr>
          <w:rFonts w:asciiTheme="minorHAnsi" w:hAnsiTheme="minorHAnsi" w:cstheme="minorHAnsi"/>
          <w:color w:val="000000"/>
          <w:sz w:val="22"/>
          <w:szCs w:val="22"/>
        </w:rPr>
        <w:t>in the United States.</w:t>
      </w:r>
      <w:r w:rsidR="009F7608" w:rsidRPr="00296824">
        <w:rPr>
          <w:rFonts w:asciiTheme="minorHAnsi" w:hAnsiTheme="minorHAnsi" w:cstheme="minorHAnsi"/>
          <w:color w:val="000000"/>
          <w:sz w:val="22"/>
          <w:szCs w:val="22"/>
        </w:rPr>
        <w:t xml:space="preserve">  Unless the dietary supplement used in the research study is also a lawfully marketed </w:t>
      </w:r>
      <w:r w:rsidR="00BE42B7">
        <w:rPr>
          <w:rFonts w:asciiTheme="minorHAnsi" w:hAnsiTheme="minorHAnsi" w:cstheme="minorHAnsi"/>
          <w:color w:val="000000"/>
          <w:sz w:val="22"/>
          <w:szCs w:val="22"/>
        </w:rPr>
        <w:t xml:space="preserve">FDA approved </w:t>
      </w:r>
      <w:r w:rsidR="009F7608" w:rsidRPr="00296824">
        <w:rPr>
          <w:rFonts w:asciiTheme="minorHAnsi" w:hAnsiTheme="minorHAnsi" w:cstheme="minorHAnsi"/>
          <w:color w:val="000000"/>
          <w:sz w:val="22"/>
          <w:szCs w:val="22"/>
        </w:rPr>
        <w:t>drug, the IND exemption criteria cannot be considered.</w:t>
      </w:r>
      <w:r w:rsidR="009F7608" w:rsidRPr="00296824">
        <w:rPr>
          <w:rFonts w:asciiTheme="minorHAnsi" w:hAnsiTheme="minorHAnsi" w:cstheme="minorHAnsi"/>
          <w:b/>
          <w:color w:val="000000"/>
          <w:sz w:val="22"/>
          <w:szCs w:val="22"/>
        </w:rPr>
        <w:t xml:space="preserve"> </w:t>
      </w:r>
    </w:p>
    <w:p w:rsidR="009A43B4" w:rsidRDefault="00655EEF" w:rsidP="009F7608">
      <w:pPr>
        <w:spacing w:before="100" w:beforeAutospacing="1" w:after="100" w:afterAutospacing="1"/>
        <w:rPr>
          <w:b/>
          <w:color w:val="000000"/>
        </w:rPr>
      </w:pPr>
      <w:r>
        <w:rPr>
          <w:b/>
          <w:color w:val="000000"/>
        </w:rPr>
        <w:t>6.  Will an IND be needed</w:t>
      </w:r>
      <w:r w:rsidR="009A43B4" w:rsidRPr="009A43B4">
        <w:rPr>
          <w:b/>
          <w:color w:val="000000"/>
        </w:rPr>
        <w:t xml:space="preserve"> if </w:t>
      </w:r>
      <w:r w:rsidR="009A43B4">
        <w:rPr>
          <w:b/>
          <w:color w:val="000000"/>
        </w:rPr>
        <w:t>you can buy the dietary supplement at a health food store?</w:t>
      </w:r>
    </w:p>
    <w:p w:rsidR="00A258B6" w:rsidRPr="00881267" w:rsidRDefault="00655EEF" w:rsidP="009F7608">
      <w:pPr>
        <w:spacing w:before="100" w:beforeAutospacing="1" w:after="100" w:afterAutospacing="1"/>
        <w:rPr>
          <w:rFonts w:asciiTheme="minorHAnsi" w:hAnsiTheme="minorHAnsi" w:cstheme="minorHAnsi"/>
          <w:b/>
          <w:color w:val="000000"/>
          <w:sz w:val="22"/>
          <w:szCs w:val="22"/>
        </w:rPr>
      </w:pPr>
      <w:r w:rsidRPr="00881267">
        <w:rPr>
          <w:rFonts w:asciiTheme="minorHAnsi" w:hAnsiTheme="minorHAnsi" w:cstheme="minorHAnsi"/>
          <w:color w:val="000000"/>
          <w:sz w:val="22"/>
          <w:szCs w:val="22"/>
        </w:rPr>
        <w:t xml:space="preserve">Yes.  </w:t>
      </w:r>
      <w:r w:rsidR="00BE42B7" w:rsidRPr="00881267">
        <w:rPr>
          <w:rFonts w:asciiTheme="minorHAnsi" w:hAnsiTheme="minorHAnsi" w:cstheme="minorHAnsi"/>
          <w:color w:val="000000"/>
          <w:sz w:val="22"/>
          <w:szCs w:val="22"/>
        </w:rPr>
        <w:t>I</w:t>
      </w:r>
      <w:r w:rsidR="00A258B6" w:rsidRPr="00881267">
        <w:rPr>
          <w:rFonts w:asciiTheme="minorHAnsi" w:hAnsiTheme="minorHAnsi" w:cstheme="minorHAnsi"/>
          <w:color w:val="000000"/>
          <w:sz w:val="22"/>
          <w:szCs w:val="22"/>
        </w:rPr>
        <w:t>f the clinical investigation is intended to evaluate the dietary supplement’s ability to diagnose, cure, mitigate, treat, or prevent a disease, an IND is required</w:t>
      </w:r>
      <w:r w:rsidR="00BE42B7" w:rsidRPr="00881267">
        <w:rPr>
          <w:rFonts w:asciiTheme="minorHAnsi" w:hAnsiTheme="minorHAnsi" w:cstheme="minorHAnsi"/>
          <w:color w:val="000000"/>
          <w:sz w:val="22"/>
          <w:szCs w:val="22"/>
        </w:rPr>
        <w:t>, even though you can buy it in a health food store</w:t>
      </w:r>
      <w:r w:rsidR="00A258B6" w:rsidRPr="00881267">
        <w:rPr>
          <w:rFonts w:asciiTheme="minorHAnsi" w:hAnsiTheme="minorHAnsi" w:cstheme="minorHAnsi"/>
          <w:color w:val="000000"/>
          <w:sz w:val="22"/>
          <w:szCs w:val="22"/>
        </w:rPr>
        <w:t xml:space="preserve">.  </w:t>
      </w:r>
    </w:p>
    <w:p w:rsidR="009A43B4" w:rsidRDefault="009A43B4" w:rsidP="009F7608">
      <w:pPr>
        <w:spacing w:before="100" w:beforeAutospacing="1" w:after="100" w:afterAutospacing="1"/>
        <w:rPr>
          <w:b/>
          <w:color w:val="000000"/>
        </w:rPr>
      </w:pPr>
      <w:r>
        <w:rPr>
          <w:b/>
          <w:color w:val="000000"/>
        </w:rPr>
        <w:t>7.  Does the health status of the study population matter?</w:t>
      </w:r>
    </w:p>
    <w:p w:rsidR="00A258B6" w:rsidRPr="00881267" w:rsidRDefault="00655EEF" w:rsidP="009F7608">
      <w:pPr>
        <w:spacing w:before="100" w:beforeAutospacing="1" w:after="100" w:afterAutospacing="1"/>
        <w:rPr>
          <w:rFonts w:asciiTheme="minorHAnsi" w:hAnsiTheme="minorHAnsi" w:cstheme="minorHAnsi"/>
          <w:color w:val="000000"/>
          <w:sz w:val="22"/>
          <w:szCs w:val="22"/>
        </w:rPr>
      </w:pPr>
      <w:r w:rsidRPr="00881267">
        <w:rPr>
          <w:rFonts w:asciiTheme="minorHAnsi" w:hAnsiTheme="minorHAnsi" w:cstheme="minorHAnsi"/>
          <w:color w:val="000000"/>
          <w:sz w:val="22"/>
          <w:szCs w:val="22"/>
        </w:rPr>
        <w:t xml:space="preserve">No.  </w:t>
      </w:r>
      <w:r w:rsidR="00A258B6" w:rsidRPr="00881267">
        <w:rPr>
          <w:rFonts w:asciiTheme="minorHAnsi" w:hAnsiTheme="minorHAnsi" w:cstheme="minorHAnsi"/>
          <w:color w:val="000000"/>
          <w:sz w:val="22"/>
          <w:szCs w:val="22"/>
        </w:rPr>
        <w:t xml:space="preserve">According to FDA Guidance, the clinical condition of study subjects (e.g., the presence or absence of disease) has no bearing on whether the study is subject to the IND requirements. The definition of </w:t>
      </w:r>
      <w:r w:rsidR="00A258B6" w:rsidRPr="00881267">
        <w:rPr>
          <w:rFonts w:asciiTheme="minorHAnsi" w:hAnsiTheme="minorHAnsi" w:cstheme="minorHAnsi"/>
          <w:i/>
          <w:iCs/>
          <w:color w:val="000000"/>
          <w:sz w:val="22"/>
          <w:szCs w:val="22"/>
        </w:rPr>
        <w:t xml:space="preserve">clinical investigation </w:t>
      </w:r>
      <w:r w:rsidR="00A258B6" w:rsidRPr="00881267">
        <w:rPr>
          <w:rFonts w:asciiTheme="minorHAnsi" w:hAnsiTheme="minorHAnsi" w:cstheme="minorHAnsi"/>
          <w:color w:val="000000"/>
          <w:sz w:val="22"/>
          <w:szCs w:val="22"/>
        </w:rPr>
        <w:t xml:space="preserve">refers only to </w:t>
      </w:r>
      <w:r w:rsidR="00881267" w:rsidRPr="00881267">
        <w:rPr>
          <w:rFonts w:asciiTheme="minorHAnsi" w:hAnsiTheme="minorHAnsi" w:cstheme="minorHAnsi"/>
          <w:color w:val="000000"/>
          <w:sz w:val="22"/>
          <w:szCs w:val="22"/>
        </w:rPr>
        <w:t xml:space="preserve">the fact that </w:t>
      </w:r>
      <w:r w:rsidR="00A258B6" w:rsidRPr="00881267">
        <w:rPr>
          <w:rFonts w:asciiTheme="minorHAnsi" w:hAnsiTheme="minorHAnsi" w:cstheme="minorHAnsi"/>
          <w:color w:val="000000"/>
          <w:sz w:val="22"/>
          <w:szCs w:val="22"/>
        </w:rPr>
        <w:t>subjects</w:t>
      </w:r>
      <w:r w:rsidR="00881267" w:rsidRPr="00881267">
        <w:rPr>
          <w:rFonts w:asciiTheme="minorHAnsi" w:hAnsiTheme="minorHAnsi" w:cstheme="minorHAnsi"/>
          <w:color w:val="000000"/>
          <w:sz w:val="22"/>
          <w:szCs w:val="22"/>
        </w:rPr>
        <w:t xml:space="preserve"> are</w:t>
      </w:r>
      <w:r w:rsidR="00A258B6" w:rsidRPr="00881267">
        <w:rPr>
          <w:rFonts w:asciiTheme="minorHAnsi" w:hAnsiTheme="minorHAnsi" w:cstheme="minorHAnsi"/>
          <w:color w:val="000000"/>
          <w:sz w:val="22"/>
          <w:szCs w:val="22"/>
        </w:rPr>
        <w:t xml:space="preserve"> involved in an experiment. It makes no distinction between healthy subjects or those with a disease. </w:t>
      </w:r>
    </w:p>
    <w:p w:rsidR="009A43B4" w:rsidRDefault="009A43B4" w:rsidP="009F7608">
      <w:pPr>
        <w:spacing w:before="100" w:beforeAutospacing="1" w:after="100" w:afterAutospacing="1"/>
        <w:rPr>
          <w:b/>
          <w:color w:val="000000"/>
        </w:rPr>
      </w:pPr>
      <w:r>
        <w:rPr>
          <w:b/>
          <w:color w:val="000000"/>
        </w:rPr>
        <w:t xml:space="preserve">8.  Does it matter if the study information </w:t>
      </w:r>
      <w:r w:rsidR="00E21816">
        <w:rPr>
          <w:b/>
          <w:color w:val="000000"/>
        </w:rPr>
        <w:t xml:space="preserve">isn’t going to be used </w:t>
      </w:r>
      <w:r>
        <w:rPr>
          <w:b/>
          <w:color w:val="000000"/>
        </w:rPr>
        <w:t xml:space="preserve">for marketing? </w:t>
      </w:r>
    </w:p>
    <w:p w:rsidR="009F7608" w:rsidRPr="00881267" w:rsidRDefault="00655EEF" w:rsidP="009F7608">
      <w:pPr>
        <w:spacing w:before="100" w:beforeAutospacing="1" w:after="100" w:afterAutospacing="1"/>
        <w:rPr>
          <w:rFonts w:asciiTheme="minorHAnsi" w:hAnsiTheme="minorHAnsi" w:cstheme="minorHAnsi"/>
          <w:b/>
          <w:sz w:val="22"/>
          <w:szCs w:val="22"/>
        </w:rPr>
      </w:pPr>
      <w:r w:rsidRPr="00881267">
        <w:rPr>
          <w:rFonts w:asciiTheme="minorHAnsi" w:hAnsiTheme="minorHAnsi" w:cstheme="minorHAnsi"/>
          <w:color w:val="000000"/>
          <w:sz w:val="22"/>
          <w:szCs w:val="22"/>
        </w:rPr>
        <w:t xml:space="preserve">No.  </w:t>
      </w:r>
      <w:r w:rsidR="00A258B6" w:rsidRPr="00881267">
        <w:rPr>
          <w:rFonts w:asciiTheme="minorHAnsi" w:hAnsiTheme="minorHAnsi" w:cstheme="minorHAnsi"/>
          <w:color w:val="000000"/>
          <w:sz w:val="22"/>
          <w:szCs w:val="22"/>
        </w:rPr>
        <w:t xml:space="preserve">Whether the IND regulations apply to a planned clinical investigation does not depend on whether the intent of the clinical investigation is commercial or noncommercial. </w:t>
      </w:r>
    </w:p>
    <w:p w:rsidR="00A179B8" w:rsidRPr="00A179B8" w:rsidRDefault="00A179B8" w:rsidP="00502FBE">
      <w:pPr>
        <w:pStyle w:val="NormalWeb"/>
        <w:rPr>
          <w:color w:val="000000"/>
        </w:rPr>
      </w:pPr>
    </w:p>
    <w:p w:rsidR="006F0337" w:rsidRDefault="006F0337" w:rsidP="006F0337">
      <w:pPr>
        <w:spacing w:before="100" w:beforeAutospacing="1" w:after="100" w:afterAutospacing="1"/>
        <w:ind w:left="720"/>
        <w:rPr>
          <w:color w:val="000000"/>
        </w:rPr>
      </w:pPr>
    </w:p>
    <w:p w:rsidR="006F0337" w:rsidRDefault="006F0337" w:rsidP="006F0337">
      <w:pPr>
        <w:spacing w:before="100" w:beforeAutospacing="1" w:after="100" w:afterAutospacing="1"/>
        <w:ind w:left="720"/>
        <w:rPr>
          <w:color w:val="000000"/>
        </w:rPr>
      </w:pPr>
    </w:p>
    <w:p w:rsidR="006F0337" w:rsidRDefault="006F0337" w:rsidP="006F0337">
      <w:pPr>
        <w:spacing w:before="100" w:beforeAutospacing="1" w:after="100" w:afterAutospacing="1"/>
        <w:ind w:left="720"/>
        <w:rPr>
          <w:color w:val="000000"/>
        </w:rPr>
      </w:pPr>
    </w:p>
    <w:p w:rsidR="006F0337" w:rsidRDefault="006F0337" w:rsidP="006F0337">
      <w:pPr>
        <w:spacing w:before="100" w:beforeAutospacing="1" w:after="100" w:afterAutospacing="1"/>
        <w:ind w:left="720"/>
        <w:rPr>
          <w:color w:val="000000"/>
        </w:rPr>
      </w:pPr>
    </w:p>
    <w:p w:rsidR="006F0337" w:rsidRDefault="006F0337" w:rsidP="006F0337">
      <w:pPr>
        <w:spacing w:before="100" w:beforeAutospacing="1" w:after="100" w:afterAutospacing="1"/>
        <w:ind w:left="720"/>
        <w:rPr>
          <w:color w:val="000000"/>
        </w:rPr>
      </w:pPr>
    </w:p>
    <w:p w:rsidR="006F0337" w:rsidRDefault="006F0337" w:rsidP="006F0337">
      <w:pPr>
        <w:spacing w:before="100" w:beforeAutospacing="1" w:after="100" w:afterAutospacing="1"/>
        <w:ind w:left="720"/>
        <w:rPr>
          <w:color w:val="000000"/>
        </w:rPr>
      </w:pPr>
    </w:p>
    <w:p w:rsidR="006F0337" w:rsidRDefault="006F0337" w:rsidP="006F0337">
      <w:pPr>
        <w:spacing w:before="100" w:beforeAutospacing="1" w:after="100" w:afterAutospacing="1"/>
        <w:ind w:left="720"/>
        <w:rPr>
          <w:color w:val="000000"/>
        </w:rPr>
      </w:pPr>
    </w:p>
    <w:sectPr w:rsidR="006F03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63D" w:rsidRDefault="00EB063D" w:rsidP="00881267">
      <w:r>
        <w:separator/>
      </w:r>
    </w:p>
  </w:endnote>
  <w:endnote w:type="continuationSeparator" w:id="0">
    <w:p w:rsidR="00EB063D" w:rsidRDefault="00EB063D" w:rsidP="0088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67" w:rsidRPr="007E2EAA" w:rsidRDefault="00881267" w:rsidP="00881267">
    <w:pPr>
      <w:pStyle w:val="Footer"/>
      <w:rPr>
        <w:rFonts w:ascii="Calibri" w:hAnsi="Calibri" w:cs="Calibri"/>
        <w:sz w:val="22"/>
        <w:szCs w:val="22"/>
      </w:rPr>
    </w:pPr>
    <w:r w:rsidRPr="007E2EAA">
      <w:rPr>
        <w:rFonts w:ascii="Calibri" w:hAnsi="Calibri" w:cs="Calibri"/>
        <w:sz w:val="22"/>
        <w:szCs w:val="22"/>
      </w:rPr>
      <w:t xml:space="preserve">Version </w:t>
    </w:r>
    <w:r w:rsidR="00586CC6">
      <w:rPr>
        <w:rFonts w:ascii="Calibri" w:hAnsi="Calibri" w:cs="Calibri"/>
        <w:sz w:val="22"/>
        <w:szCs w:val="22"/>
      </w:rPr>
      <w:t>4/13/17</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881267" w:rsidRDefault="00881267">
    <w:pPr>
      <w:pStyle w:val="Footer"/>
    </w:pPr>
  </w:p>
  <w:p w:rsidR="00881267" w:rsidRDefault="008812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63D" w:rsidRDefault="00EB063D" w:rsidP="00881267">
      <w:r>
        <w:separator/>
      </w:r>
    </w:p>
  </w:footnote>
  <w:footnote w:type="continuationSeparator" w:id="0">
    <w:p w:rsidR="00EB063D" w:rsidRDefault="00EB063D" w:rsidP="008812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87F31"/>
    <w:multiLevelType w:val="hybridMultilevel"/>
    <w:tmpl w:val="2B32E3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0155D"/>
    <w:multiLevelType w:val="multilevel"/>
    <w:tmpl w:val="9110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07260"/>
    <w:multiLevelType w:val="multilevel"/>
    <w:tmpl w:val="149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9402B"/>
    <w:multiLevelType w:val="multilevel"/>
    <w:tmpl w:val="EED6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E"/>
    <w:rsid w:val="00175380"/>
    <w:rsid w:val="00296824"/>
    <w:rsid w:val="00473B7A"/>
    <w:rsid w:val="004E47BC"/>
    <w:rsid w:val="00502FBE"/>
    <w:rsid w:val="00586CC6"/>
    <w:rsid w:val="00655EEF"/>
    <w:rsid w:val="006F0337"/>
    <w:rsid w:val="00881267"/>
    <w:rsid w:val="009A43B4"/>
    <w:rsid w:val="009F7608"/>
    <w:rsid w:val="00A07B25"/>
    <w:rsid w:val="00A179B8"/>
    <w:rsid w:val="00A258B6"/>
    <w:rsid w:val="00A92D78"/>
    <w:rsid w:val="00AD14FC"/>
    <w:rsid w:val="00B27776"/>
    <w:rsid w:val="00BB0C8C"/>
    <w:rsid w:val="00BE42B7"/>
    <w:rsid w:val="00D13C66"/>
    <w:rsid w:val="00DE26D2"/>
    <w:rsid w:val="00E21816"/>
    <w:rsid w:val="00EB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2C46E-9677-4BDB-91E3-BC1F399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F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2FBE"/>
    <w:pPr>
      <w:spacing w:before="100" w:beforeAutospacing="1" w:after="100" w:afterAutospacing="1"/>
    </w:pPr>
  </w:style>
  <w:style w:type="character" w:styleId="Hyperlink">
    <w:name w:val="Hyperlink"/>
    <w:basedOn w:val="DefaultParagraphFont"/>
    <w:rsid w:val="00502FBE"/>
    <w:rPr>
      <w:color w:val="0000FF"/>
      <w:u w:val="single"/>
    </w:rPr>
  </w:style>
  <w:style w:type="character" w:styleId="Emphasis">
    <w:name w:val="Emphasis"/>
    <w:basedOn w:val="DefaultParagraphFont"/>
    <w:uiPriority w:val="20"/>
    <w:qFormat/>
    <w:rsid w:val="006F0337"/>
    <w:rPr>
      <w:i/>
      <w:iCs/>
    </w:rPr>
  </w:style>
  <w:style w:type="character" w:styleId="Strong">
    <w:name w:val="Strong"/>
    <w:basedOn w:val="DefaultParagraphFont"/>
    <w:uiPriority w:val="22"/>
    <w:qFormat/>
    <w:rsid w:val="006F0337"/>
    <w:rPr>
      <w:b/>
      <w:bCs/>
    </w:rPr>
  </w:style>
  <w:style w:type="paragraph" w:customStyle="1" w:styleId="Default">
    <w:name w:val="Default"/>
    <w:rsid w:val="006F0337"/>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6F0337"/>
    <w:rPr>
      <w:i w:val="0"/>
      <w:iCs w:val="0"/>
      <w:color w:val="009933"/>
    </w:rPr>
  </w:style>
  <w:style w:type="character" w:styleId="FollowedHyperlink">
    <w:name w:val="FollowedHyperlink"/>
    <w:basedOn w:val="DefaultParagraphFont"/>
    <w:uiPriority w:val="99"/>
    <w:semiHidden/>
    <w:unhideWhenUsed/>
    <w:rsid w:val="006F0337"/>
    <w:rPr>
      <w:color w:val="800080" w:themeColor="followedHyperlink"/>
      <w:u w:val="single"/>
    </w:rPr>
  </w:style>
  <w:style w:type="paragraph" w:customStyle="1" w:styleId="CM14">
    <w:name w:val="CM14"/>
    <w:basedOn w:val="Default"/>
    <w:next w:val="Default"/>
    <w:uiPriority w:val="99"/>
    <w:rsid w:val="00175380"/>
    <w:rPr>
      <w:rFonts w:ascii="Times New Roman" w:hAnsi="Times New Roman" w:cs="Times New Roman"/>
      <w:color w:val="auto"/>
    </w:rPr>
  </w:style>
  <w:style w:type="paragraph" w:customStyle="1" w:styleId="CM11">
    <w:name w:val="CM11"/>
    <w:basedOn w:val="Default"/>
    <w:next w:val="Default"/>
    <w:uiPriority w:val="99"/>
    <w:rsid w:val="00175380"/>
    <w:rPr>
      <w:rFonts w:ascii="Times New Roman" w:hAnsi="Times New Roman" w:cs="Times New Roman"/>
      <w:color w:val="auto"/>
    </w:rPr>
  </w:style>
  <w:style w:type="paragraph" w:customStyle="1" w:styleId="CM20">
    <w:name w:val="CM20"/>
    <w:basedOn w:val="Default"/>
    <w:next w:val="Default"/>
    <w:uiPriority w:val="99"/>
    <w:rsid w:val="00175380"/>
    <w:rPr>
      <w:rFonts w:ascii="Times New Roman" w:hAnsi="Times New Roman" w:cs="Times New Roman"/>
      <w:color w:val="auto"/>
    </w:rPr>
  </w:style>
  <w:style w:type="paragraph" w:styleId="BalloonText">
    <w:name w:val="Balloon Text"/>
    <w:basedOn w:val="Normal"/>
    <w:link w:val="BalloonTextChar"/>
    <w:uiPriority w:val="99"/>
    <w:semiHidden/>
    <w:unhideWhenUsed/>
    <w:rsid w:val="009A43B4"/>
    <w:rPr>
      <w:rFonts w:ascii="Tahoma" w:hAnsi="Tahoma" w:cs="Tahoma"/>
      <w:sz w:val="16"/>
      <w:szCs w:val="16"/>
    </w:rPr>
  </w:style>
  <w:style w:type="character" w:customStyle="1" w:styleId="BalloonTextChar">
    <w:name w:val="Balloon Text Char"/>
    <w:basedOn w:val="DefaultParagraphFont"/>
    <w:link w:val="BalloonText"/>
    <w:uiPriority w:val="99"/>
    <w:semiHidden/>
    <w:rsid w:val="009A43B4"/>
    <w:rPr>
      <w:rFonts w:ascii="Tahoma" w:eastAsia="Times New Roman" w:hAnsi="Tahoma" w:cs="Tahoma"/>
      <w:sz w:val="16"/>
      <w:szCs w:val="16"/>
    </w:rPr>
  </w:style>
  <w:style w:type="paragraph" w:styleId="Header">
    <w:name w:val="header"/>
    <w:basedOn w:val="Normal"/>
    <w:link w:val="HeaderChar"/>
    <w:uiPriority w:val="99"/>
    <w:unhideWhenUsed/>
    <w:rsid w:val="00881267"/>
    <w:pPr>
      <w:tabs>
        <w:tab w:val="center" w:pos="4680"/>
        <w:tab w:val="right" w:pos="9360"/>
      </w:tabs>
    </w:pPr>
  </w:style>
  <w:style w:type="character" w:customStyle="1" w:styleId="HeaderChar">
    <w:name w:val="Header Char"/>
    <w:basedOn w:val="DefaultParagraphFont"/>
    <w:link w:val="Header"/>
    <w:uiPriority w:val="99"/>
    <w:rsid w:val="00881267"/>
    <w:rPr>
      <w:rFonts w:ascii="Times New Roman" w:eastAsia="Times New Roman" w:hAnsi="Times New Roman" w:cs="Times New Roman"/>
      <w:sz w:val="24"/>
      <w:szCs w:val="24"/>
    </w:rPr>
  </w:style>
  <w:style w:type="paragraph" w:styleId="Footer">
    <w:name w:val="footer"/>
    <w:basedOn w:val="Normal"/>
    <w:link w:val="FooterChar"/>
    <w:unhideWhenUsed/>
    <w:rsid w:val="00881267"/>
    <w:pPr>
      <w:tabs>
        <w:tab w:val="center" w:pos="4680"/>
        <w:tab w:val="right" w:pos="9360"/>
      </w:tabs>
    </w:pPr>
  </w:style>
  <w:style w:type="character" w:customStyle="1" w:styleId="FooterChar">
    <w:name w:val="Footer Char"/>
    <w:basedOn w:val="DefaultParagraphFont"/>
    <w:link w:val="Footer"/>
    <w:uiPriority w:val="99"/>
    <w:rsid w:val="008812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78739">
      <w:bodyDiv w:val="1"/>
      <w:marLeft w:val="0"/>
      <w:marRight w:val="0"/>
      <w:marTop w:val="0"/>
      <w:marBottom w:val="0"/>
      <w:divBdr>
        <w:top w:val="none" w:sz="0" w:space="0" w:color="auto"/>
        <w:left w:val="none" w:sz="0" w:space="0" w:color="auto"/>
        <w:bottom w:val="none" w:sz="0" w:space="0" w:color="auto"/>
        <w:right w:val="none" w:sz="0" w:space="0" w:color="auto"/>
      </w:divBdr>
      <w:divsChild>
        <w:div w:id="1432312679">
          <w:marLeft w:val="0"/>
          <w:marRight w:val="0"/>
          <w:marTop w:val="0"/>
          <w:marBottom w:val="0"/>
          <w:divBdr>
            <w:top w:val="none" w:sz="0" w:space="0" w:color="auto"/>
            <w:left w:val="none" w:sz="0" w:space="0" w:color="auto"/>
            <w:bottom w:val="none" w:sz="0" w:space="0" w:color="auto"/>
            <w:right w:val="none" w:sz="0" w:space="0" w:color="auto"/>
          </w:divBdr>
          <w:divsChild>
            <w:div w:id="1648631272">
              <w:marLeft w:val="0"/>
              <w:marRight w:val="0"/>
              <w:marTop w:val="0"/>
              <w:marBottom w:val="0"/>
              <w:divBdr>
                <w:top w:val="none" w:sz="0" w:space="0" w:color="auto"/>
                <w:left w:val="none" w:sz="0" w:space="0" w:color="auto"/>
                <w:bottom w:val="none" w:sz="0" w:space="0" w:color="auto"/>
                <w:right w:val="none" w:sz="0" w:space="0" w:color="auto"/>
              </w:divBdr>
              <w:divsChild>
                <w:div w:id="1977222997">
                  <w:marLeft w:val="0"/>
                  <w:marRight w:val="0"/>
                  <w:marTop w:val="0"/>
                  <w:marBottom w:val="0"/>
                  <w:divBdr>
                    <w:top w:val="none" w:sz="0" w:space="0" w:color="auto"/>
                    <w:left w:val="none" w:sz="0" w:space="0" w:color="auto"/>
                    <w:bottom w:val="none" w:sz="0" w:space="0" w:color="auto"/>
                    <w:right w:val="none" w:sz="0" w:space="0" w:color="auto"/>
                  </w:divBdr>
                  <w:divsChild>
                    <w:div w:id="1426071350">
                      <w:marLeft w:val="0"/>
                      <w:marRight w:val="0"/>
                      <w:marTop w:val="0"/>
                      <w:marBottom w:val="0"/>
                      <w:divBdr>
                        <w:top w:val="none" w:sz="0" w:space="0" w:color="auto"/>
                        <w:left w:val="none" w:sz="0" w:space="0" w:color="auto"/>
                        <w:bottom w:val="none" w:sz="0" w:space="0" w:color="auto"/>
                        <w:right w:val="none" w:sz="0" w:space="0" w:color="auto"/>
                      </w:divBdr>
                      <w:divsChild>
                        <w:div w:id="485585480">
                          <w:marLeft w:val="0"/>
                          <w:marRight w:val="0"/>
                          <w:marTop w:val="0"/>
                          <w:marBottom w:val="0"/>
                          <w:divBdr>
                            <w:top w:val="none" w:sz="0" w:space="0" w:color="auto"/>
                            <w:left w:val="none" w:sz="0" w:space="0" w:color="auto"/>
                            <w:bottom w:val="none" w:sz="0" w:space="0" w:color="auto"/>
                            <w:right w:val="none" w:sz="0" w:space="0" w:color="auto"/>
                          </w:divBdr>
                          <w:divsChild>
                            <w:div w:id="1445464209">
                              <w:marLeft w:val="0"/>
                              <w:marRight w:val="0"/>
                              <w:marTop w:val="0"/>
                              <w:marBottom w:val="0"/>
                              <w:divBdr>
                                <w:top w:val="none" w:sz="0" w:space="0" w:color="auto"/>
                                <w:left w:val="none" w:sz="0" w:space="0" w:color="auto"/>
                                <w:bottom w:val="none" w:sz="0" w:space="0" w:color="auto"/>
                                <w:right w:val="none" w:sz="0" w:space="0" w:color="auto"/>
                              </w:divBdr>
                              <w:divsChild>
                                <w:div w:id="3642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603256">
      <w:bodyDiv w:val="1"/>
      <w:marLeft w:val="0"/>
      <w:marRight w:val="0"/>
      <w:marTop w:val="0"/>
      <w:marBottom w:val="0"/>
      <w:divBdr>
        <w:top w:val="none" w:sz="0" w:space="0" w:color="auto"/>
        <w:left w:val="none" w:sz="0" w:space="0" w:color="auto"/>
        <w:bottom w:val="none" w:sz="0" w:space="0" w:color="auto"/>
        <w:right w:val="none" w:sz="0" w:space="0" w:color="auto"/>
      </w:divBdr>
      <w:divsChild>
        <w:div w:id="94601176">
          <w:marLeft w:val="0"/>
          <w:marRight w:val="0"/>
          <w:marTop w:val="0"/>
          <w:marBottom w:val="0"/>
          <w:divBdr>
            <w:top w:val="none" w:sz="0" w:space="0" w:color="auto"/>
            <w:left w:val="none" w:sz="0" w:space="0" w:color="auto"/>
            <w:bottom w:val="none" w:sz="0" w:space="0" w:color="auto"/>
            <w:right w:val="none" w:sz="0" w:space="0" w:color="auto"/>
          </w:divBdr>
          <w:divsChild>
            <w:div w:id="89350461">
              <w:marLeft w:val="0"/>
              <w:marRight w:val="0"/>
              <w:marTop w:val="0"/>
              <w:marBottom w:val="0"/>
              <w:divBdr>
                <w:top w:val="none" w:sz="0" w:space="0" w:color="auto"/>
                <w:left w:val="none" w:sz="0" w:space="0" w:color="auto"/>
                <w:bottom w:val="none" w:sz="0" w:space="0" w:color="auto"/>
                <w:right w:val="none" w:sz="0" w:space="0" w:color="auto"/>
              </w:divBdr>
              <w:divsChild>
                <w:div w:id="1923442288">
                  <w:marLeft w:val="0"/>
                  <w:marRight w:val="0"/>
                  <w:marTop w:val="0"/>
                  <w:marBottom w:val="0"/>
                  <w:divBdr>
                    <w:top w:val="none" w:sz="0" w:space="0" w:color="auto"/>
                    <w:left w:val="none" w:sz="0" w:space="0" w:color="auto"/>
                    <w:bottom w:val="none" w:sz="0" w:space="0" w:color="auto"/>
                    <w:right w:val="none" w:sz="0" w:space="0" w:color="auto"/>
                  </w:divBdr>
                  <w:divsChild>
                    <w:div w:id="937326984">
                      <w:marLeft w:val="0"/>
                      <w:marRight w:val="0"/>
                      <w:marTop w:val="0"/>
                      <w:marBottom w:val="0"/>
                      <w:divBdr>
                        <w:top w:val="none" w:sz="0" w:space="0" w:color="auto"/>
                        <w:left w:val="none" w:sz="0" w:space="0" w:color="auto"/>
                        <w:bottom w:val="none" w:sz="0" w:space="0" w:color="auto"/>
                        <w:right w:val="none" w:sz="0" w:space="0" w:color="auto"/>
                      </w:divBdr>
                      <w:divsChild>
                        <w:div w:id="525875652">
                          <w:marLeft w:val="0"/>
                          <w:marRight w:val="0"/>
                          <w:marTop w:val="45"/>
                          <w:marBottom w:val="0"/>
                          <w:divBdr>
                            <w:top w:val="none" w:sz="0" w:space="0" w:color="auto"/>
                            <w:left w:val="none" w:sz="0" w:space="0" w:color="auto"/>
                            <w:bottom w:val="none" w:sz="0" w:space="0" w:color="auto"/>
                            <w:right w:val="none" w:sz="0" w:space="0" w:color="auto"/>
                          </w:divBdr>
                          <w:divsChild>
                            <w:div w:id="793327901">
                              <w:marLeft w:val="1800"/>
                              <w:marRight w:val="3810"/>
                              <w:marTop w:val="0"/>
                              <w:marBottom w:val="0"/>
                              <w:divBdr>
                                <w:top w:val="none" w:sz="0" w:space="0" w:color="auto"/>
                                <w:left w:val="none" w:sz="0" w:space="0" w:color="auto"/>
                                <w:bottom w:val="none" w:sz="0" w:space="0" w:color="auto"/>
                                <w:right w:val="none" w:sz="0" w:space="0" w:color="auto"/>
                              </w:divBdr>
                              <w:divsChild>
                                <w:div w:id="914582720">
                                  <w:marLeft w:val="0"/>
                                  <w:marRight w:val="0"/>
                                  <w:marTop w:val="0"/>
                                  <w:marBottom w:val="0"/>
                                  <w:divBdr>
                                    <w:top w:val="none" w:sz="0" w:space="0" w:color="auto"/>
                                    <w:left w:val="none" w:sz="0" w:space="0" w:color="auto"/>
                                    <w:bottom w:val="none" w:sz="0" w:space="0" w:color="auto"/>
                                    <w:right w:val="none" w:sz="0" w:space="0" w:color="auto"/>
                                  </w:divBdr>
                                  <w:divsChild>
                                    <w:div w:id="2004505230">
                                      <w:marLeft w:val="0"/>
                                      <w:marRight w:val="0"/>
                                      <w:marTop w:val="0"/>
                                      <w:marBottom w:val="0"/>
                                      <w:divBdr>
                                        <w:top w:val="none" w:sz="0" w:space="0" w:color="auto"/>
                                        <w:left w:val="none" w:sz="0" w:space="0" w:color="auto"/>
                                        <w:bottom w:val="none" w:sz="0" w:space="0" w:color="auto"/>
                                        <w:right w:val="none" w:sz="0" w:space="0" w:color="auto"/>
                                      </w:divBdr>
                                      <w:divsChild>
                                        <w:div w:id="1437402672">
                                          <w:marLeft w:val="0"/>
                                          <w:marRight w:val="0"/>
                                          <w:marTop w:val="0"/>
                                          <w:marBottom w:val="0"/>
                                          <w:divBdr>
                                            <w:top w:val="none" w:sz="0" w:space="0" w:color="auto"/>
                                            <w:left w:val="none" w:sz="0" w:space="0" w:color="auto"/>
                                            <w:bottom w:val="none" w:sz="0" w:space="0" w:color="auto"/>
                                            <w:right w:val="none" w:sz="0" w:space="0" w:color="auto"/>
                                          </w:divBdr>
                                          <w:divsChild>
                                            <w:div w:id="1689135146">
                                              <w:marLeft w:val="0"/>
                                              <w:marRight w:val="0"/>
                                              <w:marTop w:val="0"/>
                                              <w:marBottom w:val="0"/>
                                              <w:divBdr>
                                                <w:top w:val="none" w:sz="0" w:space="0" w:color="auto"/>
                                                <w:left w:val="none" w:sz="0" w:space="0" w:color="auto"/>
                                                <w:bottom w:val="none" w:sz="0" w:space="0" w:color="auto"/>
                                                <w:right w:val="none" w:sz="0" w:space="0" w:color="auto"/>
                                              </w:divBdr>
                                              <w:divsChild>
                                                <w:div w:id="984091017">
                                                  <w:marLeft w:val="0"/>
                                                  <w:marRight w:val="0"/>
                                                  <w:marTop w:val="0"/>
                                                  <w:marBottom w:val="0"/>
                                                  <w:divBdr>
                                                    <w:top w:val="none" w:sz="0" w:space="0" w:color="auto"/>
                                                    <w:left w:val="none" w:sz="0" w:space="0" w:color="auto"/>
                                                    <w:bottom w:val="none" w:sz="0" w:space="0" w:color="auto"/>
                                                    <w:right w:val="none" w:sz="0" w:space="0" w:color="auto"/>
                                                  </w:divBdr>
                                                  <w:divsChild>
                                                    <w:div w:id="3820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644779">
      <w:bodyDiv w:val="1"/>
      <w:marLeft w:val="0"/>
      <w:marRight w:val="0"/>
      <w:marTop w:val="0"/>
      <w:marBottom w:val="0"/>
      <w:divBdr>
        <w:top w:val="none" w:sz="0" w:space="0" w:color="auto"/>
        <w:left w:val="none" w:sz="0" w:space="0" w:color="auto"/>
        <w:bottom w:val="none" w:sz="0" w:space="0" w:color="auto"/>
        <w:right w:val="none" w:sz="0" w:space="0" w:color="auto"/>
      </w:divBdr>
      <w:divsChild>
        <w:div w:id="977879193">
          <w:marLeft w:val="0"/>
          <w:marRight w:val="0"/>
          <w:marTop w:val="100"/>
          <w:marBottom w:val="100"/>
          <w:divBdr>
            <w:top w:val="none" w:sz="0" w:space="0" w:color="auto"/>
            <w:left w:val="none" w:sz="0" w:space="0" w:color="auto"/>
            <w:bottom w:val="none" w:sz="0" w:space="0" w:color="auto"/>
            <w:right w:val="none" w:sz="0" w:space="0" w:color="auto"/>
          </w:divBdr>
          <w:divsChild>
            <w:div w:id="11785440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guidanceregulation/guidancedocumentsregulatoryinformation/dietarysupplements/ucm103340.htm" TargetMode="External"/><Relationship Id="rId3" Type="http://schemas.openxmlformats.org/officeDocument/2006/relationships/settings" Target="settings.xml"/><Relationship Id="rId7" Type="http://schemas.openxmlformats.org/officeDocument/2006/relationships/hyperlink" Target="http://www.fda.gov/downloads/Drugs/GuidanceComplianceRegulatoryInformation/Guidances/UCM22917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Margaret L</dc:creator>
  <cp:lastModifiedBy>Baker, Jessica</cp:lastModifiedBy>
  <cp:revision>3</cp:revision>
  <cp:lastPrinted>2013-03-29T17:25:00Z</cp:lastPrinted>
  <dcterms:created xsi:type="dcterms:W3CDTF">2017-04-13T18:43:00Z</dcterms:created>
  <dcterms:modified xsi:type="dcterms:W3CDTF">2017-04-14T12:38:00Z</dcterms:modified>
</cp:coreProperties>
</file>