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A9A10" w14:textId="49A95CE3" w:rsidR="008F6B1C" w:rsidRDefault="008F6B1C" w:rsidP="00B02B94">
      <w:pPr>
        <w:pStyle w:val="Title"/>
        <w:jc w:val="center"/>
      </w:pPr>
      <w:r>
        <w:t>Checklist for DSMP for Full Board Studies</w:t>
      </w:r>
    </w:p>
    <w:p w14:paraId="4D1DE041" w14:textId="6EC4B7DB" w:rsidR="008F6B1C" w:rsidRDefault="00B02B94" w:rsidP="008F6B1C">
      <w:pPr>
        <w:pStyle w:val="Heading1"/>
      </w:pPr>
      <w:r>
        <w:t>Data and Safety Monitoring Plan (DSMP)-General Considerations</w:t>
      </w:r>
    </w:p>
    <w:tbl>
      <w:tblPr>
        <w:tblStyle w:val="GridTable1Light-Accent5"/>
        <w:tblW w:w="13495" w:type="dxa"/>
        <w:tblLayout w:type="fixed"/>
        <w:tblLook w:val="04A0" w:firstRow="1" w:lastRow="0" w:firstColumn="1" w:lastColumn="0" w:noHBand="0" w:noVBand="1"/>
      </w:tblPr>
      <w:tblGrid>
        <w:gridCol w:w="10435"/>
        <w:gridCol w:w="630"/>
        <w:gridCol w:w="2430"/>
      </w:tblGrid>
      <w:tr w:rsidR="00B02B94" w14:paraId="471A377B" w14:textId="77777777" w:rsidTr="00792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38C44996" w14:textId="77777777" w:rsidR="00B02B94" w:rsidRDefault="00B02B94" w:rsidP="00677B44">
            <w:r>
              <w:t>The study team described in their protocol …</w:t>
            </w:r>
          </w:p>
        </w:tc>
        <w:tc>
          <w:tcPr>
            <w:tcW w:w="630" w:type="dxa"/>
          </w:tcPr>
          <w:p w14:paraId="5D47CA58" w14:textId="77777777" w:rsidR="00B02B94" w:rsidRDefault="00B02B94" w:rsidP="00677B44">
            <w:pPr>
              <w:cnfStyle w:val="100000000000" w:firstRow="1" w:lastRow="0" w:firstColumn="0" w:lastColumn="0" w:oddVBand="0" w:evenVBand="0" w:oddHBand="0" w:evenHBand="0" w:firstRowFirstColumn="0" w:firstRowLastColumn="0" w:lastRowFirstColumn="0" w:lastRowLastColumn="0"/>
            </w:pPr>
            <w:r>
              <w:t>Y/N</w:t>
            </w:r>
          </w:p>
        </w:tc>
        <w:tc>
          <w:tcPr>
            <w:tcW w:w="2430" w:type="dxa"/>
          </w:tcPr>
          <w:p w14:paraId="262A7D6B" w14:textId="77777777" w:rsidR="00B02B94" w:rsidRDefault="00B02B94" w:rsidP="00677B44">
            <w:pPr>
              <w:cnfStyle w:val="100000000000" w:firstRow="1" w:lastRow="0" w:firstColumn="0" w:lastColumn="0" w:oddVBand="0" w:evenVBand="0" w:oddHBand="0" w:evenHBand="0" w:firstRowFirstColumn="0" w:firstRowLastColumn="0" w:lastRowFirstColumn="0" w:lastRowLastColumn="0"/>
            </w:pPr>
            <w:r>
              <w:t>Notes</w:t>
            </w:r>
          </w:p>
        </w:tc>
      </w:tr>
      <w:tr w:rsidR="00B02B94" w14:paraId="255F32A8" w14:textId="77777777" w:rsidTr="00792CA2">
        <w:tc>
          <w:tcPr>
            <w:cnfStyle w:val="001000000000" w:firstRow="0" w:lastRow="0" w:firstColumn="1" w:lastColumn="0" w:oddVBand="0" w:evenVBand="0" w:oddHBand="0" w:evenHBand="0" w:firstRowFirstColumn="0" w:firstRowLastColumn="0" w:lastRowFirstColumn="0" w:lastRowLastColumn="0"/>
            <w:tcW w:w="10435" w:type="dxa"/>
          </w:tcPr>
          <w:p w14:paraId="53CF39B5" w14:textId="77777777" w:rsidR="00B02B94" w:rsidRPr="00F25048" w:rsidRDefault="00B02B94" w:rsidP="00677B44">
            <w:pPr>
              <w:rPr>
                <w:b w:val="0"/>
                <w:bCs w:val="0"/>
              </w:rPr>
            </w:pPr>
            <w:r>
              <w:rPr>
                <w:b w:val="0"/>
                <w:bCs w:val="0"/>
              </w:rPr>
              <w:t>A plan to review data and complete data in real-time (for example, ensuring timely review of SAEs, and reviewing signatures after IC process)</w:t>
            </w:r>
            <w:r w:rsidRPr="00F25048">
              <w:rPr>
                <w:b w:val="0"/>
                <w:bCs w:val="0"/>
              </w:rPr>
              <w:t xml:space="preserve"> </w:t>
            </w:r>
          </w:p>
        </w:tc>
        <w:tc>
          <w:tcPr>
            <w:tcW w:w="630" w:type="dxa"/>
          </w:tcPr>
          <w:p w14:paraId="4FE5AE4B" w14:textId="77777777" w:rsidR="00B02B94" w:rsidRDefault="00B02B94" w:rsidP="00677B44">
            <w:pPr>
              <w:cnfStyle w:val="000000000000" w:firstRow="0" w:lastRow="0" w:firstColumn="0" w:lastColumn="0" w:oddVBand="0" w:evenVBand="0" w:oddHBand="0" w:evenHBand="0" w:firstRowFirstColumn="0" w:firstRowLastColumn="0" w:lastRowFirstColumn="0" w:lastRowLastColumn="0"/>
            </w:pPr>
          </w:p>
        </w:tc>
        <w:tc>
          <w:tcPr>
            <w:tcW w:w="2430" w:type="dxa"/>
          </w:tcPr>
          <w:p w14:paraId="395C4F69" w14:textId="77777777" w:rsidR="00B02B94" w:rsidRDefault="00B02B94" w:rsidP="00677B44">
            <w:pPr>
              <w:cnfStyle w:val="000000000000" w:firstRow="0" w:lastRow="0" w:firstColumn="0" w:lastColumn="0" w:oddVBand="0" w:evenVBand="0" w:oddHBand="0" w:evenHBand="0" w:firstRowFirstColumn="0" w:firstRowLastColumn="0" w:lastRowFirstColumn="0" w:lastRowLastColumn="0"/>
            </w:pPr>
          </w:p>
        </w:tc>
      </w:tr>
      <w:tr w:rsidR="00B02B94" w14:paraId="7FC19478" w14:textId="77777777" w:rsidTr="00792CA2">
        <w:tc>
          <w:tcPr>
            <w:cnfStyle w:val="001000000000" w:firstRow="0" w:lastRow="0" w:firstColumn="1" w:lastColumn="0" w:oddVBand="0" w:evenVBand="0" w:oddHBand="0" w:evenHBand="0" w:firstRowFirstColumn="0" w:firstRowLastColumn="0" w:lastRowFirstColumn="0" w:lastRowLastColumn="0"/>
            <w:tcW w:w="10435" w:type="dxa"/>
          </w:tcPr>
          <w:p w14:paraId="502723C2" w14:textId="77777777" w:rsidR="00B02B94" w:rsidRPr="00F25048" w:rsidRDefault="00B02B94" w:rsidP="00677B44">
            <w:pPr>
              <w:rPr>
                <w:b w:val="0"/>
                <w:bCs w:val="0"/>
              </w:rPr>
            </w:pPr>
            <w:r w:rsidRPr="00F25048">
              <w:rPr>
                <w:b w:val="0"/>
                <w:bCs w:val="0"/>
              </w:rPr>
              <w:t>A</w:t>
            </w:r>
            <w:r>
              <w:rPr>
                <w:b w:val="0"/>
                <w:bCs w:val="0"/>
              </w:rPr>
              <w:t>n</w:t>
            </w:r>
            <w:r w:rsidRPr="00F25048">
              <w:rPr>
                <w:b w:val="0"/>
                <w:bCs w:val="0"/>
              </w:rPr>
              <w:t xml:space="preserve"> SOP to review data at pre-determined intervals for safety (</w:t>
            </w:r>
            <w:r>
              <w:rPr>
                <w:b w:val="0"/>
                <w:bCs w:val="0"/>
              </w:rPr>
              <w:t xml:space="preserve">for </w:t>
            </w:r>
            <w:r w:rsidRPr="00F25048">
              <w:rPr>
                <w:b w:val="0"/>
                <w:bCs w:val="0"/>
              </w:rPr>
              <w:t>example, confirmation via copies of data sources for eligibility criteria tests)</w:t>
            </w:r>
          </w:p>
        </w:tc>
        <w:tc>
          <w:tcPr>
            <w:tcW w:w="630" w:type="dxa"/>
          </w:tcPr>
          <w:p w14:paraId="0893A352" w14:textId="77777777" w:rsidR="00B02B94" w:rsidRDefault="00B02B94" w:rsidP="00677B44">
            <w:pPr>
              <w:cnfStyle w:val="000000000000" w:firstRow="0" w:lastRow="0" w:firstColumn="0" w:lastColumn="0" w:oddVBand="0" w:evenVBand="0" w:oddHBand="0" w:evenHBand="0" w:firstRowFirstColumn="0" w:firstRowLastColumn="0" w:lastRowFirstColumn="0" w:lastRowLastColumn="0"/>
            </w:pPr>
          </w:p>
        </w:tc>
        <w:tc>
          <w:tcPr>
            <w:tcW w:w="2430" w:type="dxa"/>
          </w:tcPr>
          <w:p w14:paraId="22ED2C1A" w14:textId="77777777" w:rsidR="00B02B94" w:rsidRDefault="00B02B94" w:rsidP="00677B44">
            <w:pPr>
              <w:cnfStyle w:val="000000000000" w:firstRow="0" w:lastRow="0" w:firstColumn="0" w:lastColumn="0" w:oddVBand="0" w:evenVBand="0" w:oddHBand="0" w:evenHBand="0" w:firstRowFirstColumn="0" w:firstRowLastColumn="0" w:lastRowFirstColumn="0" w:lastRowLastColumn="0"/>
            </w:pPr>
          </w:p>
        </w:tc>
      </w:tr>
    </w:tbl>
    <w:p w14:paraId="32323AD4" w14:textId="2953DC3B" w:rsidR="00B02B94" w:rsidRDefault="00B02B94" w:rsidP="00B02B94">
      <w:pPr>
        <w:pStyle w:val="Heading1"/>
      </w:pPr>
      <w:r>
        <w:t>Monitoring Plan</w:t>
      </w:r>
    </w:p>
    <w:tbl>
      <w:tblPr>
        <w:tblStyle w:val="GridTable1Light-Accent5"/>
        <w:tblW w:w="13495" w:type="dxa"/>
        <w:tblLayout w:type="fixed"/>
        <w:tblLook w:val="04A0" w:firstRow="1" w:lastRow="0" w:firstColumn="1" w:lastColumn="0" w:noHBand="0" w:noVBand="1"/>
      </w:tblPr>
      <w:tblGrid>
        <w:gridCol w:w="10435"/>
        <w:gridCol w:w="630"/>
        <w:gridCol w:w="2430"/>
      </w:tblGrid>
      <w:tr w:rsidR="00B02B94" w14:paraId="14DEC9C9" w14:textId="77777777" w:rsidTr="00792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212462A5" w14:textId="77777777" w:rsidR="00B02B94" w:rsidRDefault="00B02B94" w:rsidP="00B02B94">
            <w:pPr>
              <w:rPr>
                <w:b w:val="0"/>
                <w:bCs w:val="0"/>
              </w:rPr>
            </w:pPr>
            <w:r>
              <w:t>The study team described in their protocol …</w:t>
            </w:r>
          </w:p>
        </w:tc>
        <w:tc>
          <w:tcPr>
            <w:tcW w:w="630" w:type="dxa"/>
          </w:tcPr>
          <w:p w14:paraId="0BE918CE" w14:textId="2F8E1D46" w:rsidR="00B02B94" w:rsidRDefault="00F21B1D" w:rsidP="00B02B94">
            <w:pPr>
              <w:cnfStyle w:val="100000000000" w:firstRow="1" w:lastRow="0" w:firstColumn="0" w:lastColumn="0" w:oddVBand="0" w:evenVBand="0" w:oddHBand="0" w:evenHBand="0" w:firstRowFirstColumn="0" w:firstRowLastColumn="0" w:lastRowFirstColumn="0" w:lastRowLastColumn="0"/>
              <w:rPr>
                <w:b w:val="0"/>
                <w:bCs w:val="0"/>
              </w:rPr>
            </w:pPr>
            <w:r>
              <w:t>Y/N</w:t>
            </w:r>
          </w:p>
        </w:tc>
        <w:tc>
          <w:tcPr>
            <w:tcW w:w="2430" w:type="dxa"/>
          </w:tcPr>
          <w:p w14:paraId="46C87FE2" w14:textId="48ECBF2C" w:rsidR="00B02B94" w:rsidRDefault="00F21B1D" w:rsidP="00B02B94">
            <w:pPr>
              <w:cnfStyle w:val="100000000000" w:firstRow="1" w:lastRow="0" w:firstColumn="0" w:lastColumn="0" w:oddVBand="0" w:evenVBand="0" w:oddHBand="0" w:evenHBand="0" w:firstRowFirstColumn="0" w:firstRowLastColumn="0" w:lastRowFirstColumn="0" w:lastRowLastColumn="0"/>
            </w:pPr>
            <w:r>
              <w:t>Notes</w:t>
            </w:r>
          </w:p>
        </w:tc>
      </w:tr>
      <w:tr w:rsidR="00F25048" w14:paraId="551B5CF3" w14:textId="77777777" w:rsidTr="00792CA2">
        <w:tc>
          <w:tcPr>
            <w:cnfStyle w:val="001000000000" w:firstRow="0" w:lastRow="0" w:firstColumn="1" w:lastColumn="0" w:oddVBand="0" w:evenVBand="0" w:oddHBand="0" w:evenHBand="0" w:firstRowFirstColumn="0" w:firstRowLastColumn="0" w:lastRowFirstColumn="0" w:lastRowLastColumn="0"/>
            <w:tcW w:w="10435" w:type="dxa"/>
          </w:tcPr>
          <w:p w14:paraId="5F8BBAB8" w14:textId="3A75D668" w:rsidR="00063F98" w:rsidRPr="00063F98" w:rsidRDefault="00F25048" w:rsidP="00F25048">
            <w:pPr>
              <w:rPr>
                <w:b w:val="0"/>
                <w:bCs w:val="0"/>
              </w:rPr>
            </w:pPr>
            <w:r w:rsidRPr="00063F98">
              <w:rPr>
                <w:b w:val="0"/>
                <w:bCs w:val="0"/>
                <w:u w:val="single"/>
              </w:rPr>
              <w:t>For medium complexity studies</w:t>
            </w:r>
            <w:r w:rsidR="00063F98" w:rsidRPr="00063F98">
              <w:rPr>
                <w:b w:val="0"/>
                <w:bCs w:val="0"/>
                <w:u w:val="single"/>
              </w:rPr>
              <w:t xml:space="preserve"> (at a minimum)</w:t>
            </w:r>
            <w:r w:rsidRPr="00063F98">
              <w:rPr>
                <w:b w:val="0"/>
                <w:bCs w:val="0"/>
              </w:rPr>
              <w:t xml:space="preserve"> </w:t>
            </w:r>
          </w:p>
          <w:p w14:paraId="1AC80990" w14:textId="139D18A8" w:rsidR="00063F98" w:rsidRPr="00063F98" w:rsidRDefault="00063F98" w:rsidP="00F25048">
            <w:pPr>
              <w:pStyle w:val="ListParagraph"/>
              <w:numPr>
                <w:ilvl w:val="0"/>
                <w:numId w:val="4"/>
              </w:numPr>
              <w:ind w:left="330"/>
              <w:rPr>
                <w:b w:val="0"/>
                <w:bCs w:val="0"/>
              </w:rPr>
            </w:pPr>
            <w:r w:rsidRPr="00063F98">
              <w:rPr>
                <w:b w:val="0"/>
                <w:bCs w:val="0"/>
              </w:rPr>
              <w:t>A</w:t>
            </w:r>
            <w:r w:rsidR="00F25048" w:rsidRPr="00063F98">
              <w:rPr>
                <w:b w:val="0"/>
                <w:bCs w:val="0"/>
              </w:rPr>
              <w:t xml:space="preserve"> plan to review the research data using </w:t>
            </w:r>
            <w:r w:rsidRPr="00063F98">
              <w:rPr>
                <w:b w:val="0"/>
                <w:bCs w:val="0"/>
              </w:rPr>
              <w:t>our</w:t>
            </w:r>
            <w:r w:rsidR="00F25048" w:rsidRPr="00063F98">
              <w:rPr>
                <w:b w:val="0"/>
                <w:bCs w:val="0"/>
              </w:rPr>
              <w:t xml:space="preserve"> </w:t>
            </w:r>
            <w:hyperlink r:id="rId8" w:anchor="EU%20Self-Monitoring%20Tool" w:history="1">
              <w:r w:rsidR="00F25048" w:rsidRPr="00063F98">
                <w:rPr>
                  <w:rStyle w:val="Hyperlink"/>
                  <w:b w:val="0"/>
                  <w:bCs w:val="0"/>
                </w:rPr>
                <w:t>self-monitoring tool</w:t>
              </w:r>
            </w:hyperlink>
            <w:r w:rsidR="00F25048" w:rsidRPr="00063F98">
              <w:rPr>
                <w:b w:val="0"/>
                <w:bCs w:val="0"/>
              </w:rPr>
              <w:t xml:space="preserve"> at adequate intervals.  </w:t>
            </w:r>
          </w:p>
          <w:p w14:paraId="31F3E40C" w14:textId="663A54F0" w:rsidR="00F25048" w:rsidRPr="00792CA2" w:rsidRDefault="00792CA2" w:rsidP="00F25048">
            <w:pPr>
              <w:pStyle w:val="ListParagraph"/>
              <w:numPr>
                <w:ilvl w:val="0"/>
                <w:numId w:val="4"/>
              </w:numPr>
              <w:ind w:left="330"/>
              <w:rPr>
                <w:b w:val="0"/>
                <w:bCs w:val="0"/>
              </w:rPr>
            </w:pPr>
            <w:r>
              <w:rPr>
                <w:b w:val="0"/>
                <w:bCs w:val="0"/>
              </w:rPr>
              <w:t>That t</w:t>
            </w:r>
            <w:r w:rsidR="00F25048" w:rsidRPr="00063F98">
              <w:rPr>
                <w:b w:val="0"/>
                <w:bCs w:val="0"/>
              </w:rPr>
              <w:t xml:space="preserve">he completed form </w:t>
            </w:r>
            <w:r w:rsidR="00AB1527">
              <w:rPr>
                <w:b w:val="0"/>
                <w:bCs w:val="0"/>
              </w:rPr>
              <w:t>will</w:t>
            </w:r>
            <w:r w:rsidR="00AB1527" w:rsidRPr="00063F98">
              <w:rPr>
                <w:b w:val="0"/>
                <w:bCs w:val="0"/>
              </w:rPr>
              <w:t xml:space="preserve"> </w:t>
            </w:r>
            <w:r w:rsidR="00F25048" w:rsidRPr="00063F98">
              <w:rPr>
                <w:b w:val="0"/>
                <w:bCs w:val="0"/>
              </w:rPr>
              <w:t>be sent to CTAC for review.</w:t>
            </w:r>
          </w:p>
          <w:p w14:paraId="41EFDED7" w14:textId="66D978EA" w:rsidR="00F9649E" w:rsidRPr="00063F98" w:rsidRDefault="00601499" w:rsidP="00792CA2">
            <w:pPr>
              <w:pStyle w:val="ListParagraph"/>
              <w:numPr>
                <w:ilvl w:val="0"/>
                <w:numId w:val="4"/>
              </w:numPr>
              <w:ind w:left="330"/>
              <w:rPr>
                <w:b w:val="0"/>
                <w:bCs w:val="0"/>
              </w:rPr>
            </w:pPr>
            <w:r w:rsidRPr="00792CA2">
              <w:rPr>
                <w:b w:val="0"/>
                <w:bCs w:val="0"/>
              </w:rPr>
              <w:t xml:space="preserve">For abbreviated IDE studies, if all procedures are considered minimal risk, </w:t>
            </w:r>
            <w:r w:rsidR="00C26C6E" w:rsidRPr="00792CA2">
              <w:rPr>
                <w:b w:val="0"/>
                <w:bCs w:val="0"/>
              </w:rPr>
              <w:t xml:space="preserve">the study can use the </w:t>
            </w:r>
            <w:proofErr w:type="spellStart"/>
            <w:r w:rsidR="00C26C6E" w:rsidRPr="00792CA2">
              <w:rPr>
                <w:b w:val="0"/>
                <w:bCs w:val="0"/>
              </w:rPr>
              <w:t>self monitoring</w:t>
            </w:r>
            <w:proofErr w:type="spellEnd"/>
            <w:r w:rsidR="00C26C6E" w:rsidRPr="00792CA2">
              <w:rPr>
                <w:b w:val="0"/>
                <w:bCs w:val="0"/>
              </w:rPr>
              <w:t xml:space="preserve"> tool</w:t>
            </w:r>
            <w:r w:rsidR="00DA2625" w:rsidRPr="00792CA2">
              <w:rPr>
                <w:b w:val="0"/>
                <w:bCs w:val="0"/>
              </w:rPr>
              <w:t xml:space="preserve"> to satisfy the FDA requirement</w:t>
            </w:r>
            <w:r w:rsidR="00DA2625" w:rsidRPr="00792CA2">
              <w:rPr>
                <w:rStyle w:val="EndnoteReference"/>
                <w:b w:val="0"/>
                <w:bCs w:val="0"/>
              </w:rPr>
              <w:endnoteReference w:id="1"/>
            </w:r>
            <w:r w:rsidRPr="00792CA2">
              <w:rPr>
                <w:b w:val="0"/>
                <w:bCs w:val="0"/>
              </w:rPr>
              <w:t>.</w:t>
            </w:r>
          </w:p>
        </w:tc>
        <w:tc>
          <w:tcPr>
            <w:tcW w:w="630" w:type="dxa"/>
          </w:tcPr>
          <w:p w14:paraId="2A44A823" w14:textId="77777777" w:rsidR="00F25048" w:rsidRDefault="00F25048" w:rsidP="00F25048">
            <w:pPr>
              <w:cnfStyle w:val="000000000000" w:firstRow="0" w:lastRow="0" w:firstColumn="0" w:lastColumn="0" w:oddVBand="0" w:evenVBand="0" w:oddHBand="0" w:evenHBand="0" w:firstRowFirstColumn="0" w:firstRowLastColumn="0" w:lastRowFirstColumn="0" w:lastRowLastColumn="0"/>
            </w:pPr>
          </w:p>
        </w:tc>
        <w:tc>
          <w:tcPr>
            <w:tcW w:w="2430" w:type="dxa"/>
          </w:tcPr>
          <w:p w14:paraId="26F30BE0" w14:textId="77777777" w:rsidR="00F25048" w:rsidRDefault="00F25048" w:rsidP="00F25048">
            <w:pPr>
              <w:cnfStyle w:val="000000000000" w:firstRow="0" w:lastRow="0" w:firstColumn="0" w:lastColumn="0" w:oddVBand="0" w:evenVBand="0" w:oddHBand="0" w:evenHBand="0" w:firstRowFirstColumn="0" w:firstRowLastColumn="0" w:lastRowFirstColumn="0" w:lastRowLastColumn="0"/>
            </w:pPr>
          </w:p>
        </w:tc>
      </w:tr>
      <w:tr w:rsidR="00F25048" w14:paraId="67BAD571" w14:textId="77777777" w:rsidTr="00792CA2">
        <w:tc>
          <w:tcPr>
            <w:cnfStyle w:val="001000000000" w:firstRow="0" w:lastRow="0" w:firstColumn="1" w:lastColumn="0" w:oddVBand="0" w:evenVBand="0" w:oddHBand="0" w:evenHBand="0" w:firstRowFirstColumn="0" w:firstRowLastColumn="0" w:lastRowFirstColumn="0" w:lastRowLastColumn="0"/>
            <w:tcW w:w="10435" w:type="dxa"/>
          </w:tcPr>
          <w:p w14:paraId="518BB796" w14:textId="45C6228F" w:rsidR="00F25048" w:rsidRDefault="00F25048" w:rsidP="00F25048">
            <w:pPr>
              <w:rPr>
                <w:u w:val="single"/>
              </w:rPr>
            </w:pPr>
            <w:r>
              <w:rPr>
                <w:b w:val="0"/>
                <w:bCs w:val="0"/>
                <w:u w:val="single"/>
              </w:rPr>
              <w:t>For high complexity studies</w:t>
            </w:r>
            <w:r w:rsidR="00063F98">
              <w:rPr>
                <w:b w:val="0"/>
                <w:bCs w:val="0"/>
                <w:u w:val="single"/>
              </w:rPr>
              <w:t xml:space="preserve"> (at a minimum)</w:t>
            </w:r>
            <w:r>
              <w:rPr>
                <w:b w:val="0"/>
                <w:bCs w:val="0"/>
                <w:u w:val="single"/>
              </w:rPr>
              <w:t xml:space="preserve"> </w:t>
            </w:r>
          </w:p>
          <w:p w14:paraId="67D91423" w14:textId="22FC9136" w:rsidR="00340FB1" w:rsidRPr="00340FB1" w:rsidRDefault="00AB1527" w:rsidP="00340FB1">
            <w:pPr>
              <w:pStyle w:val="ListParagraph"/>
              <w:numPr>
                <w:ilvl w:val="0"/>
                <w:numId w:val="3"/>
              </w:numPr>
              <w:ind w:left="330"/>
              <w:rPr>
                <w:b w:val="0"/>
                <w:bCs w:val="0"/>
              </w:rPr>
            </w:pPr>
            <w:r>
              <w:rPr>
                <w:b w:val="0"/>
                <w:bCs w:val="0"/>
              </w:rPr>
              <w:t>The individual(s) or group that will</w:t>
            </w:r>
            <w:r w:rsidR="00340FB1" w:rsidRPr="00340FB1">
              <w:rPr>
                <w:b w:val="0"/>
                <w:bCs w:val="0"/>
              </w:rPr>
              <w:t xml:space="preserve"> serve as the study data monitor and their qualifications</w:t>
            </w:r>
            <w:r>
              <w:rPr>
                <w:b w:val="0"/>
                <w:bCs w:val="0"/>
              </w:rPr>
              <w:t>.</w:t>
            </w:r>
            <w:r w:rsidR="00063F98">
              <w:rPr>
                <w:b w:val="0"/>
                <w:bCs w:val="0"/>
              </w:rPr>
              <w:t xml:space="preserve">  This person should not be collecting data for the study and, ideally, not be associated with the study. This can be delegated to a CRO.</w:t>
            </w:r>
          </w:p>
          <w:p w14:paraId="29E9D4B4" w14:textId="46DEF9CE" w:rsidR="00340FB1" w:rsidRPr="00063F98" w:rsidRDefault="00792CA2" w:rsidP="00340FB1">
            <w:pPr>
              <w:pStyle w:val="ListParagraph"/>
              <w:numPr>
                <w:ilvl w:val="0"/>
                <w:numId w:val="3"/>
              </w:numPr>
              <w:ind w:left="330"/>
              <w:rPr>
                <w:u w:val="single"/>
              </w:rPr>
            </w:pPr>
            <w:r>
              <w:rPr>
                <w:b w:val="0"/>
                <w:bCs w:val="0"/>
              </w:rPr>
              <w:t>The f</w:t>
            </w:r>
            <w:r w:rsidR="00340FB1">
              <w:rPr>
                <w:b w:val="0"/>
                <w:bCs w:val="0"/>
              </w:rPr>
              <w:t>requency and percentage of files to be reviewed</w:t>
            </w:r>
          </w:p>
          <w:p w14:paraId="223D4BF7" w14:textId="16BDC0BE" w:rsidR="00340FB1" w:rsidRPr="00063F98" w:rsidRDefault="00063F98" w:rsidP="00340FB1">
            <w:pPr>
              <w:pStyle w:val="ListParagraph"/>
              <w:numPr>
                <w:ilvl w:val="0"/>
                <w:numId w:val="3"/>
              </w:numPr>
              <w:ind w:left="330"/>
              <w:rPr>
                <w:b w:val="0"/>
                <w:bCs w:val="0"/>
              </w:rPr>
            </w:pPr>
            <w:r w:rsidRPr="00063F98">
              <w:rPr>
                <w:b w:val="0"/>
                <w:bCs w:val="0"/>
              </w:rPr>
              <w:t>The monitoring schedule</w:t>
            </w:r>
            <w:r w:rsidR="00792CA2">
              <w:rPr>
                <w:b w:val="0"/>
                <w:bCs w:val="0"/>
              </w:rPr>
              <w:t>, that</w:t>
            </w:r>
            <w:r w:rsidRPr="00063F98">
              <w:rPr>
                <w:b w:val="0"/>
                <w:bCs w:val="0"/>
              </w:rPr>
              <w:t xml:space="preserve"> should include study initiation, early enrollment, and interim monitoring, based on the site activity</w:t>
            </w:r>
            <w:r>
              <w:rPr>
                <w:b w:val="0"/>
                <w:bCs w:val="0"/>
              </w:rPr>
              <w:t>, participants’ risk,</w:t>
            </w:r>
            <w:r w:rsidRPr="00063F98">
              <w:rPr>
                <w:b w:val="0"/>
                <w:bCs w:val="0"/>
              </w:rPr>
              <w:t xml:space="preserve"> and study complexity</w:t>
            </w:r>
            <w:r>
              <w:rPr>
                <w:b w:val="0"/>
                <w:bCs w:val="0"/>
              </w:rPr>
              <w:t>.</w:t>
            </w:r>
          </w:p>
          <w:p w14:paraId="1BC4C615" w14:textId="3D902DA7" w:rsidR="00063F98" w:rsidRPr="00063F98" w:rsidRDefault="00063F98" w:rsidP="00340FB1">
            <w:pPr>
              <w:pStyle w:val="ListParagraph"/>
              <w:numPr>
                <w:ilvl w:val="0"/>
                <w:numId w:val="3"/>
              </w:numPr>
              <w:ind w:left="330"/>
              <w:rPr>
                <w:b w:val="0"/>
                <w:bCs w:val="0"/>
              </w:rPr>
            </w:pPr>
            <w:r>
              <w:rPr>
                <w:b w:val="0"/>
                <w:bCs w:val="0"/>
              </w:rPr>
              <w:t>A plan for consent form review (</w:t>
            </w:r>
            <w:r w:rsidR="00AB1527">
              <w:rPr>
                <w:b w:val="0"/>
                <w:bCs w:val="0"/>
              </w:rPr>
              <w:t xml:space="preserve">should include </w:t>
            </w:r>
            <w:r>
              <w:rPr>
                <w:b w:val="0"/>
                <w:bCs w:val="0"/>
              </w:rPr>
              <w:t>100% of consents)</w:t>
            </w:r>
          </w:p>
          <w:p w14:paraId="3593D58F" w14:textId="4E5B8581" w:rsidR="00063F98" w:rsidRPr="00063F98" w:rsidRDefault="00063F98" w:rsidP="00340FB1">
            <w:pPr>
              <w:pStyle w:val="ListParagraph"/>
              <w:numPr>
                <w:ilvl w:val="0"/>
                <w:numId w:val="3"/>
              </w:numPr>
              <w:ind w:left="330"/>
              <w:rPr>
                <w:b w:val="0"/>
                <w:bCs w:val="0"/>
              </w:rPr>
            </w:pPr>
            <w:r>
              <w:rPr>
                <w:b w:val="0"/>
                <w:bCs w:val="0"/>
              </w:rPr>
              <w:t>A plan to document and review SAEs in real-time (within 24 hours for example)</w:t>
            </w:r>
          </w:p>
          <w:p w14:paraId="6FBC9479" w14:textId="281D8B3E" w:rsidR="00063F98" w:rsidRPr="00063F98" w:rsidRDefault="00063F98" w:rsidP="00340FB1">
            <w:pPr>
              <w:pStyle w:val="ListParagraph"/>
              <w:numPr>
                <w:ilvl w:val="0"/>
                <w:numId w:val="3"/>
              </w:numPr>
              <w:ind w:left="330"/>
              <w:rPr>
                <w:b w:val="0"/>
                <w:bCs w:val="0"/>
              </w:rPr>
            </w:pPr>
            <w:r>
              <w:rPr>
                <w:b w:val="0"/>
                <w:bCs w:val="0"/>
              </w:rPr>
              <w:t xml:space="preserve">A plan to review CRFs against critical data for accuracy and completion. Examples of critical data are eligibility, study </w:t>
            </w:r>
            <w:proofErr w:type="gramStart"/>
            <w:r>
              <w:rPr>
                <w:b w:val="0"/>
                <w:bCs w:val="0"/>
              </w:rPr>
              <w:t>end-points</w:t>
            </w:r>
            <w:proofErr w:type="gramEnd"/>
            <w:r>
              <w:rPr>
                <w:b w:val="0"/>
                <w:bCs w:val="0"/>
              </w:rPr>
              <w:t>, safety events, etc.</w:t>
            </w:r>
          </w:p>
          <w:p w14:paraId="52707C79" w14:textId="4DB20204" w:rsidR="00063F98" w:rsidRPr="00063F98" w:rsidRDefault="00AB1527" w:rsidP="00340FB1">
            <w:pPr>
              <w:pStyle w:val="ListParagraph"/>
              <w:numPr>
                <w:ilvl w:val="0"/>
                <w:numId w:val="3"/>
              </w:numPr>
              <w:ind w:left="330"/>
              <w:rPr>
                <w:b w:val="0"/>
                <w:bCs w:val="0"/>
              </w:rPr>
            </w:pPr>
            <w:r>
              <w:rPr>
                <w:b w:val="0"/>
                <w:bCs w:val="0"/>
              </w:rPr>
              <w:t>A</w:t>
            </w:r>
            <w:r w:rsidR="00792CA2">
              <w:rPr>
                <w:b w:val="0"/>
                <w:bCs w:val="0"/>
              </w:rPr>
              <w:t xml:space="preserve"> </w:t>
            </w:r>
            <w:r>
              <w:rPr>
                <w:b w:val="0"/>
                <w:bCs w:val="0"/>
              </w:rPr>
              <w:t>p</w:t>
            </w:r>
            <w:r w:rsidR="00063F98">
              <w:rPr>
                <w:b w:val="0"/>
                <w:bCs w:val="0"/>
              </w:rPr>
              <w:t xml:space="preserve">lan to review </w:t>
            </w:r>
            <w:r>
              <w:rPr>
                <w:b w:val="0"/>
                <w:bCs w:val="0"/>
              </w:rPr>
              <w:t xml:space="preserve">the </w:t>
            </w:r>
            <w:r w:rsidR="00063F98">
              <w:rPr>
                <w:b w:val="0"/>
                <w:bCs w:val="0"/>
              </w:rPr>
              <w:t>study binder with team members' credentials, training records, the delegation of responsibility logs, etc.</w:t>
            </w:r>
            <w:r w:rsidR="0038020C">
              <w:rPr>
                <w:b w:val="0"/>
                <w:bCs w:val="0"/>
              </w:rPr>
              <w:t xml:space="preserve"> Should specify the review frequency.</w:t>
            </w:r>
          </w:p>
          <w:p w14:paraId="33A02FD7" w14:textId="2E1A4042" w:rsidR="00063F98" w:rsidRPr="00063F98" w:rsidRDefault="00063F98" w:rsidP="00340FB1">
            <w:pPr>
              <w:pStyle w:val="ListParagraph"/>
              <w:numPr>
                <w:ilvl w:val="0"/>
                <w:numId w:val="3"/>
              </w:numPr>
              <w:ind w:left="330"/>
              <w:rPr>
                <w:b w:val="0"/>
                <w:bCs w:val="0"/>
              </w:rPr>
            </w:pPr>
            <w:r>
              <w:rPr>
                <w:b w:val="0"/>
                <w:bCs w:val="0"/>
              </w:rPr>
              <w:t xml:space="preserve">If applicable, review of laboratory processing and storage of specimens at participants’ first and closeouts visits and at least biannually. </w:t>
            </w:r>
          </w:p>
          <w:p w14:paraId="2435DCE8" w14:textId="6C2C5315" w:rsidR="00063F98" w:rsidRPr="00063F98" w:rsidRDefault="00063F98" w:rsidP="00340FB1">
            <w:pPr>
              <w:pStyle w:val="ListParagraph"/>
              <w:numPr>
                <w:ilvl w:val="0"/>
                <w:numId w:val="3"/>
              </w:numPr>
              <w:ind w:left="330"/>
              <w:rPr>
                <w:b w:val="0"/>
                <w:bCs w:val="0"/>
              </w:rPr>
            </w:pPr>
            <w:r w:rsidRPr="00063F98">
              <w:rPr>
                <w:b w:val="0"/>
                <w:bCs w:val="0"/>
              </w:rPr>
              <w:lastRenderedPageBreak/>
              <w:t>Drug and Device accountability procedures</w:t>
            </w:r>
          </w:p>
        </w:tc>
        <w:tc>
          <w:tcPr>
            <w:tcW w:w="630" w:type="dxa"/>
          </w:tcPr>
          <w:p w14:paraId="4168810E" w14:textId="77777777" w:rsidR="00F25048" w:rsidRDefault="00F25048" w:rsidP="00F25048">
            <w:pPr>
              <w:cnfStyle w:val="000000000000" w:firstRow="0" w:lastRow="0" w:firstColumn="0" w:lastColumn="0" w:oddVBand="0" w:evenVBand="0" w:oddHBand="0" w:evenHBand="0" w:firstRowFirstColumn="0" w:firstRowLastColumn="0" w:lastRowFirstColumn="0" w:lastRowLastColumn="0"/>
            </w:pPr>
          </w:p>
        </w:tc>
        <w:tc>
          <w:tcPr>
            <w:tcW w:w="2430" w:type="dxa"/>
          </w:tcPr>
          <w:p w14:paraId="612BC895" w14:textId="77777777" w:rsidR="00F25048" w:rsidRDefault="00F25048" w:rsidP="00F25048">
            <w:pPr>
              <w:cnfStyle w:val="000000000000" w:firstRow="0" w:lastRow="0" w:firstColumn="0" w:lastColumn="0" w:oddVBand="0" w:evenVBand="0" w:oddHBand="0" w:evenHBand="0" w:firstRowFirstColumn="0" w:firstRowLastColumn="0" w:lastRowFirstColumn="0" w:lastRowLastColumn="0"/>
            </w:pPr>
          </w:p>
        </w:tc>
      </w:tr>
      <w:tr w:rsidR="00063F98" w14:paraId="0818FCD6" w14:textId="77777777" w:rsidTr="00792CA2">
        <w:tc>
          <w:tcPr>
            <w:cnfStyle w:val="001000000000" w:firstRow="0" w:lastRow="0" w:firstColumn="1" w:lastColumn="0" w:oddVBand="0" w:evenVBand="0" w:oddHBand="0" w:evenHBand="0" w:firstRowFirstColumn="0" w:firstRowLastColumn="0" w:lastRowFirstColumn="0" w:lastRowLastColumn="0"/>
            <w:tcW w:w="10435" w:type="dxa"/>
          </w:tcPr>
          <w:p w14:paraId="5FC6D47C" w14:textId="54BC2FA5" w:rsidR="00063F98" w:rsidRPr="00B02B94" w:rsidRDefault="00063F98" w:rsidP="00B02B94">
            <w:pPr>
              <w:rPr>
                <w:b w:val="0"/>
                <w:bCs w:val="0"/>
                <w:u w:val="single"/>
              </w:rPr>
            </w:pPr>
            <w:r w:rsidRPr="00B02B94">
              <w:rPr>
                <w:b w:val="0"/>
                <w:bCs w:val="0"/>
                <w:u w:val="single"/>
              </w:rPr>
              <w:t>FDA regulated studies (at minimum)</w:t>
            </w:r>
            <w:r w:rsidR="00AB1527">
              <w:rPr>
                <w:b w:val="0"/>
                <w:bCs w:val="0"/>
                <w:u w:val="single"/>
              </w:rPr>
              <w:t xml:space="preserve"> </w:t>
            </w:r>
            <w:r w:rsidR="00B02B94" w:rsidRPr="00B02B94">
              <w:rPr>
                <w:b w:val="0"/>
                <w:bCs w:val="0"/>
                <w:u w:val="single"/>
              </w:rPr>
              <w:t xml:space="preserve">- Besides </w:t>
            </w:r>
            <w:proofErr w:type="gramStart"/>
            <w:r w:rsidR="00B02B94" w:rsidRPr="00B02B94">
              <w:rPr>
                <w:b w:val="0"/>
                <w:bCs w:val="0"/>
                <w:u w:val="single"/>
              </w:rPr>
              <w:t>all of</w:t>
            </w:r>
            <w:proofErr w:type="gramEnd"/>
            <w:r w:rsidR="00B02B94" w:rsidRPr="00B02B94">
              <w:rPr>
                <w:b w:val="0"/>
                <w:bCs w:val="0"/>
                <w:u w:val="single"/>
              </w:rPr>
              <w:t xml:space="preserve"> the above, the plan should specify:</w:t>
            </w:r>
          </w:p>
          <w:p w14:paraId="49223D54" w14:textId="77777777" w:rsidR="00063F98" w:rsidRPr="00B02B94" w:rsidRDefault="00B02B94" w:rsidP="00B02B94">
            <w:pPr>
              <w:pStyle w:val="ListParagraph"/>
              <w:numPr>
                <w:ilvl w:val="0"/>
                <w:numId w:val="6"/>
              </w:numPr>
              <w:ind w:left="330"/>
              <w:rPr>
                <w:b w:val="0"/>
                <w:bCs w:val="0"/>
              </w:rPr>
            </w:pPr>
            <w:r w:rsidRPr="00B02B94">
              <w:rPr>
                <w:b w:val="0"/>
                <w:bCs w:val="0"/>
              </w:rPr>
              <w:t>Monitoring methods (may include centralized/remote, on-site, and self-monitoring)</w:t>
            </w:r>
          </w:p>
          <w:p w14:paraId="0C93101B" w14:textId="77777777" w:rsidR="00B02B94" w:rsidRPr="00B02B94" w:rsidRDefault="00B02B94" w:rsidP="00B02B94">
            <w:pPr>
              <w:pStyle w:val="ListParagraph"/>
              <w:numPr>
                <w:ilvl w:val="0"/>
                <w:numId w:val="6"/>
              </w:numPr>
              <w:ind w:left="330"/>
              <w:rPr>
                <w:b w:val="0"/>
                <w:bCs w:val="0"/>
                <w:u w:val="single"/>
              </w:rPr>
            </w:pPr>
            <w:r w:rsidRPr="00B02B94">
              <w:rPr>
                <w:b w:val="0"/>
                <w:bCs w:val="0"/>
              </w:rPr>
              <w:t>Reference to any tools used (i.e. checklists)</w:t>
            </w:r>
          </w:p>
          <w:p w14:paraId="5CC79626" w14:textId="77777777" w:rsidR="00B02B94" w:rsidRPr="00B02B94" w:rsidRDefault="00B02B94" w:rsidP="00B02B94">
            <w:pPr>
              <w:pStyle w:val="ListParagraph"/>
              <w:numPr>
                <w:ilvl w:val="0"/>
                <w:numId w:val="6"/>
              </w:numPr>
              <w:ind w:left="330"/>
              <w:rPr>
                <w:b w:val="0"/>
                <w:bCs w:val="0"/>
                <w:u w:val="single"/>
              </w:rPr>
            </w:pPr>
            <w:r w:rsidRPr="00B02B94">
              <w:rPr>
                <w:b w:val="0"/>
                <w:bCs w:val="0"/>
              </w:rPr>
              <w:t>Identification of events that may trigger changes</w:t>
            </w:r>
          </w:p>
          <w:p w14:paraId="5B379F07" w14:textId="77777777" w:rsidR="00B02B94" w:rsidRPr="00B02B94" w:rsidRDefault="00B02B94" w:rsidP="00B02B94">
            <w:pPr>
              <w:pStyle w:val="ListParagraph"/>
              <w:numPr>
                <w:ilvl w:val="0"/>
                <w:numId w:val="6"/>
              </w:numPr>
              <w:ind w:left="330"/>
              <w:rPr>
                <w:b w:val="0"/>
                <w:bCs w:val="0"/>
                <w:u w:val="single"/>
              </w:rPr>
            </w:pPr>
            <w:r w:rsidRPr="00B02B94">
              <w:rPr>
                <w:b w:val="0"/>
                <w:bCs w:val="0"/>
              </w:rPr>
              <w:t>Identification of deviations or failures that would be critical to study integrity</w:t>
            </w:r>
          </w:p>
          <w:p w14:paraId="2BE9353D" w14:textId="77777777" w:rsidR="00F9649E" w:rsidRPr="00792CA2" w:rsidRDefault="00B02B94" w:rsidP="00F9649E">
            <w:pPr>
              <w:pStyle w:val="ListParagraph"/>
              <w:numPr>
                <w:ilvl w:val="0"/>
                <w:numId w:val="6"/>
              </w:numPr>
              <w:ind w:left="330"/>
              <w:rPr>
                <w:u w:val="single"/>
              </w:rPr>
            </w:pPr>
            <w:r w:rsidRPr="00B02B94">
              <w:rPr>
                <w:b w:val="0"/>
                <w:bCs w:val="0"/>
              </w:rPr>
              <w:t>Categorization of activities done centrally and those on-site if applicable</w:t>
            </w:r>
          </w:p>
          <w:p w14:paraId="5002B71E" w14:textId="324D90C8" w:rsidR="00F9649E" w:rsidRPr="00792CA2" w:rsidRDefault="00F9649E" w:rsidP="00792CA2">
            <w:pPr>
              <w:pStyle w:val="ListParagraph"/>
              <w:ind w:left="0"/>
              <w:rPr>
                <w:u w:val="single"/>
              </w:rPr>
            </w:pPr>
          </w:p>
        </w:tc>
        <w:tc>
          <w:tcPr>
            <w:tcW w:w="630" w:type="dxa"/>
          </w:tcPr>
          <w:p w14:paraId="1337D40A" w14:textId="77777777" w:rsidR="00063F98" w:rsidRDefault="00063F98" w:rsidP="00F25048">
            <w:pPr>
              <w:cnfStyle w:val="000000000000" w:firstRow="0" w:lastRow="0" w:firstColumn="0" w:lastColumn="0" w:oddVBand="0" w:evenVBand="0" w:oddHBand="0" w:evenHBand="0" w:firstRowFirstColumn="0" w:firstRowLastColumn="0" w:lastRowFirstColumn="0" w:lastRowLastColumn="0"/>
            </w:pPr>
          </w:p>
        </w:tc>
        <w:tc>
          <w:tcPr>
            <w:tcW w:w="2430" w:type="dxa"/>
          </w:tcPr>
          <w:p w14:paraId="5FCE4AD0" w14:textId="77777777" w:rsidR="00063F98" w:rsidRDefault="00063F98" w:rsidP="00F25048">
            <w:pPr>
              <w:cnfStyle w:val="000000000000" w:firstRow="0" w:lastRow="0" w:firstColumn="0" w:lastColumn="0" w:oddVBand="0" w:evenVBand="0" w:oddHBand="0" w:evenHBand="0" w:firstRowFirstColumn="0" w:firstRowLastColumn="0" w:lastRowFirstColumn="0" w:lastRowLastColumn="0"/>
            </w:pPr>
          </w:p>
        </w:tc>
      </w:tr>
      <w:tr w:rsidR="00B02B94" w14:paraId="53FAA33E" w14:textId="77777777" w:rsidTr="00792CA2">
        <w:tc>
          <w:tcPr>
            <w:cnfStyle w:val="001000000000" w:firstRow="0" w:lastRow="0" w:firstColumn="1" w:lastColumn="0" w:oddVBand="0" w:evenVBand="0" w:oddHBand="0" w:evenHBand="0" w:firstRowFirstColumn="0" w:firstRowLastColumn="0" w:lastRowFirstColumn="0" w:lastRowLastColumn="0"/>
            <w:tcW w:w="10435" w:type="dxa"/>
          </w:tcPr>
          <w:p w14:paraId="68548405" w14:textId="3A427EA0" w:rsidR="00B02B94" w:rsidRPr="00B02B94" w:rsidRDefault="00B02B94" w:rsidP="00B02B94">
            <w:pPr>
              <w:rPr>
                <w:b w:val="0"/>
                <w:bCs w:val="0"/>
                <w:u w:val="single"/>
              </w:rPr>
            </w:pPr>
            <w:r w:rsidRPr="00B02B94">
              <w:rPr>
                <w:b w:val="0"/>
                <w:bCs w:val="0"/>
                <w:u w:val="single"/>
              </w:rPr>
              <w:t>High-complexity clinical trials with international sites</w:t>
            </w:r>
            <w:r>
              <w:rPr>
                <w:b w:val="0"/>
                <w:bCs w:val="0"/>
                <w:u w:val="single"/>
              </w:rPr>
              <w:t xml:space="preserve"> </w:t>
            </w:r>
            <w:r w:rsidRPr="00B02B94">
              <w:rPr>
                <w:b w:val="0"/>
                <w:bCs w:val="0"/>
                <w:u w:val="single"/>
              </w:rPr>
              <w:t>(at minimum)</w:t>
            </w:r>
            <w:proofErr w:type="gramStart"/>
            <w:r w:rsidRPr="00B02B94">
              <w:rPr>
                <w:b w:val="0"/>
                <w:bCs w:val="0"/>
                <w:u w:val="single"/>
              </w:rPr>
              <w:t>-  Besides</w:t>
            </w:r>
            <w:proofErr w:type="gramEnd"/>
            <w:r w:rsidRPr="00B02B94">
              <w:rPr>
                <w:b w:val="0"/>
                <w:bCs w:val="0"/>
                <w:u w:val="single"/>
              </w:rPr>
              <w:t xml:space="preserve"> all of the above, the plan should specify:</w:t>
            </w:r>
          </w:p>
          <w:p w14:paraId="67D10204" w14:textId="261B7BCB" w:rsidR="00B02B94" w:rsidRPr="00B02B94" w:rsidRDefault="00B02B94" w:rsidP="00B02B94">
            <w:pPr>
              <w:pStyle w:val="ListParagraph"/>
              <w:numPr>
                <w:ilvl w:val="0"/>
                <w:numId w:val="7"/>
              </w:numPr>
              <w:ind w:left="330"/>
              <w:rPr>
                <w:b w:val="0"/>
                <w:bCs w:val="0"/>
              </w:rPr>
            </w:pPr>
            <w:r>
              <w:rPr>
                <w:b w:val="0"/>
                <w:bCs w:val="0"/>
              </w:rPr>
              <w:t>Required to engage a CR</w:t>
            </w:r>
            <w:r w:rsidR="00792CA2">
              <w:rPr>
                <w:b w:val="0"/>
                <w:bCs w:val="0"/>
              </w:rPr>
              <w:t>O that is</w:t>
            </w:r>
            <w:r>
              <w:rPr>
                <w:b w:val="0"/>
                <w:bCs w:val="0"/>
              </w:rPr>
              <w:t xml:space="preserve"> working in the site </w:t>
            </w:r>
            <w:r w:rsidRPr="00B02B94">
              <w:rPr>
                <w:b w:val="0"/>
                <w:bCs w:val="0"/>
              </w:rPr>
              <w:t xml:space="preserve">country and/or to consult with </w:t>
            </w:r>
            <w:r w:rsidR="00792CA2">
              <w:rPr>
                <w:b w:val="0"/>
                <w:bCs w:val="0"/>
              </w:rPr>
              <w:t xml:space="preserve">Emory’s </w:t>
            </w:r>
            <w:r w:rsidRPr="00B02B94">
              <w:rPr>
                <w:b w:val="0"/>
                <w:bCs w:val="0"/>
              </w:rPr>
              <w:t>legal counsel regarding compliance with the country’s clinical research regulations.</w:t>
            </w:r>
          </w:p>
        </w:tc>
        <w:tc>
          <w:tcPr>
            <w:tcW w:w="630" w:type="dxa"/>
          </w:tcPr>
          <w:p w14:paraId="58474651" w14:textId="77777777" w:rsidR="00B02B94" w:rsidRDefault="00B02B94" w:rsidP="00F25048">
            <w:pPr>
              <w:cnfStyle w:val="000000000000" w:firstRow="0" w:lastRow="0" w:firstColumn="0" w:lastColumn="0" w:oddVBand="0" w:evenVBand="0" w:oddHBand="0" w:evenHBand="0" w:firstRowFirstColumn="0" w:firstRowLastColumn="0" w:lastRowFirstColumn="0" w:lastRowLastColumn="0"/>
            </w:pPr>
          </w:p>
        </w:tc>
        <w:tc>
          <w:tcPr>
            <w:tcW w:w="2430" w:type="dxa"/>
          </w:tcPr>
          <w:p w14:paraId="41617CB9" w14:textId="77777777" w:rsidR="00B02B94" w:rsidRDefault="00B02B94" w:rsidP="00F25048">
            <w:pPr>
              <w:cnfStyle w:val="000000000000" w:firstRow="0" w:lastRow="0" w:firstColumn="0" w:lastColumn="0" w:oddVBand="0" w:evenVBand="0" w:oddHBand="0" w:evenHBand="0" w:firstRowFirstColumn="0" w:firstRowLastColumn="0" w:lastRowFirstColumn="0" w:lastRowLastColumn="0"/>
            </w:pPr>
          </w:p>
        </w:tc>
      </w:tr>
    </w:tbl>
    <w:p w14:paraId="5C549801" w14:textId="345857AC" w:rsidR="008F6B1C" w:rsidRDefault="008F6B1C" w:rsidP="008F6B1C">
      <w:pPr>
        <w:spacing w:after="0"/>
      </w:pPr>
    </w:p>
    <w:p w14:paraId="6861B789" w14:textId="060538F1" w:rsidR="008F6B1C" w:rsidRDefault="008F6B1C" w:rsidP="008F6B1C">
      <w:pPr>
        <w:pStyle w:val="Heading1"/>
      </w:pPr>
      <w:r>
        <w:t>DSMB Requirements</w:t>
      </w:r>
      <w:r>
        <w:rPr>
          <w:rStyle w:val="EndnoteReference"/>
        </w:rPr>
        <w:endnoteReference w:id="2"/>
      </w:r>
    </w:p>
    <w:p w14:paraId="1E539803" w14:textId="07FB63E4" w:rsidR="00B02B94" w:rsidRDefault="00B02B94" w:rsidP="008F6B1C">
      <w:pPr>
        <w:spacing w:after="0"/>
      </w:pPr>
    </w:p>
    <w:tbl>
      <w:tblPr>
        <w:tblStyle w:val="GridTable1Light-Accent5"/>
        <w:tblW w:w="13495" w:type="dxa"/>
        <w:tblLayout w:type="fixed"/>
        <w:tblLook w:val="04A0" w:firstRow="1" w:lastRow="0" w:firstColumn="1" w:lastColumn="0" w:noHBand="0" w:noVBand="1"/>
      </w:tblPr>
      <w:tblGrid>
        <w:gridCol w:w="10435"/>
        <w:gridCol w:w="630"/>
        <w:gridCol w:w="2430"/>
      </w:tblGrid>
      <w:tr w:rsidR="00B02B94" w14:paraId="436F61D2" w14:textId="77777777" w:rsidTr="00792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277C37C7" w14:textId="64B8129C" w:rsidR="00B02B94" w:rsidRPr="00792CA2" w:rsidRDefault="00AB1527" w:rsidP="00677B44">
            <w:r w:rsidRPr="00792CA2">
              <w:t xml:space="preserve">If a DSMB is needed, </w:t>
            </w:r>
            <w:r w:rsidRPr="00792CA2">
              <w:rPr>
                <w:rStyle w:val="EndnoteReference"/>
              </w:rPr>
              <w:endnoteReference w:id="3"/>
            </w:r>
            <w:r w:rsidRPr="00792CA2">
              <w:t xml:space="preserve"> t</w:t>
            </w:r>
            <w:r w:rsidR="00B02B94" w:rsidRPr="00792CA2">
              <w:t>he study team described in their protocol …</w:t>
            </w:r>
          </w:p>
        </w:tc>
        <w:tc>
          <w:tcPr>
            <w:tcW w:w="630" w:type="dxa"/>
          </w:tcPr>
          <w:p w14:paraId="63748C3B" w14:textId="77777777" w:rsidR="00B02B94" w:rsidRDefault="00B02B94" w:rsidP="00677B44">
            <w:pPr>
              <w:cnfStyle w:val="100000000000" w:firstRow="1" w:lastRow="0" w:firstColumn="0" w:lastColumn="0" w:oddVBand="0" w:evenVBand="0" w:oddHBand="0" w:evenHBand="0" w:firstRowFirstColumn="0" w:firstRowLastColumn="0" w:lastRowFirstColumn="0" w:lastRowLastColumn="0"/>
            </w:pPr>
            <w:r>
              <w:t>Y/N</w:t>
            </w:r>
          </w:p>
        </w:tc>
        <w:tc>
          <w:tcPr>
            <w:tcW w:w="2430" w:type="dxa"/>
          </w:tcPr>
          <w:p w14:paraId="0934A374" w14:textId="77777777" w:rsidR="00B02B94" w:rsidRDefault="00B02B94" w:rsidP="00677B44">
            <w:pPr>
              <w:cnfStyle w:val="100000000000" w:firstRow="1" w:lastRow="0" w:firstColumn="0" w:lastColumn="0" w:oddVBand="0" w:evenVBand="0" w:oddHBand="0" w:evenHBand="0" w:firstRowFirstColumn="0" w:firstRowLastColumn="0" w:lastRowFirstColumn="0" w:lastRowLastColumn="0"/>
            </w:pPr>
            <w:r>
              <w:t>Notes</w:t>
            </w:r>
          </w:p>
        </w:tc>
      </w:tr>
      <w:tr w:rsidR="00B02B94" w14:paraId="7C93831D" w14:textId="77777777" w:rsidTr="00792CA2">
        <w:tc>
          <w:tcPr>
            <w:cnfStyle w:val="001000000000" w:firstRow="0" w:lastRow="0" w:firstColumn="1" w:lastColumn="0" w:oddVBand="0" w:evenVBand="0" w:oddHBand="0" w:evenHBand="0" w:firstRowFirstColumn="0" w:firstRowLastColumn="0" w:lastRowFirstColumn="0" w:lastRowLastColumn="0"/>
            <w:tcW w:w="10435" w:type="dxa"/>
          </w:tcPr>
          <w:p w14:paraId="23089679" w14:textId="49FE0686" w:rsidR="00B02B94" w:rsidRPr="00F25048" w:rsidRDefault="00792CA2" w:rsidP="00677B44">
            <w:pPr>
              <w:rPr>
                <w:b w:val="0"/>
                <w:bCs w:val="0"/>
              </w:rPr>
            </w:pPr>
            <w:r>
              <w:rPr>
                <w:b w:val="0"/>
                <w:bCs w:val="0"/>
              </w:rPr>
              <w:t>Th</w:t>
            </w:r>
            <w:r w:rsidR="00AB1527">
              <w:rPr>
                <w:b w:val="0"/>
                <w:bCs w:val="0"/>
              </w:rPr>
              <w:t>e</w:t>
            </w:r>
            <w:r w:rsidR="00F21B1D">
              <w:rPr>
                <w:b w:val="0"/>
                <w:bCs w:val="0"/>
              </w:rPr>
              <w:t xml:space="preserve"> frequency of the meetings, who is part of the committee and their affiliations</w:t>
            </w:r>
            <w:r w:rsidR="003B0597">
              <w:rPr>
                <w:b w:val="0"/>
                <w:bCs w:val="0"/>
              </w:rPr>
              <w:t>,</w:t>
            </w:r>
            <w:r w:rsidR="00F21B1D">
              <w:rPr>
                <w:b w:val="0"/>
                <w:bCs w:val="0"/>
              </w:rPr>
              <w:t xml:space="preserve"> and what triggers the DSMB meetin</w:t>
            </w:r>
            <w:r w:rsidR="003B0597">
              <w:rPr>
                <w:b w:val="0"/>
                <w:bCs w:val="0"/>
              </w:rPr>
              <w:t>g</w:t>
            </w:r>
            <w:r w:rsidR="00F21B1D">
              <w:rPr>
                <w:b w:val="0"/>
                <w:bCs w:val="0"/>
              </w:rPr>
              <w:t>s in case of added risks to participants</w:t>
            </w:r>
          </w:p>
        </w:tc>
        <w:tc>
          <w:tcPr>
            <w:tcW w:w="630" w:type="dxa"/>
          </w:tcPr>
          <w:p w14:paraId="1B8169FD" w14:textId="77777777" w:rsidR="00B02B94" w:rsidRDefault="00B02B94" w:rsidP="00677B44">
            <w:pPr>
              <w:cnfStyle w:val="000000000000" w:firstRow="0" w:lastRow="0" w:firstColumn="0" w:lastColumn="0" w:oddVBand="0" w:evenVBand="0" w:oddHBand="0" w:evenHBand="0" w:firstRowFirstColumn="0" w:firstRowLastColumn="0" w:lastRowFirstColumn="0" w:lastRowLastColumn="0"/>
            </w:pPr>
          </w:p>
        </w:tc>
        <w:tc>
          <w:tcPr>
            <w:tcW w:w="2430" w:type="dxa"/>
          </w:tcPr>
          <w:p w14:paraId="4ECBD412" w14:textId="77777777" w:rsidR="00B02B94" w:rsidRDefault="00B02B94" w:rsidP="00677B44">
            <w:pPr>
              <w:cnfStyle w:val="000000000000" w:firstRow="0" w:lastRow="0" w:firstColumn="0" w:lastColumn="0" w:oddVBand="0" w:evenVBand="0" w:oddHBand="0" w:evenHBand="0" w:firstRowFirstColumn="0" w:firstRowLastColumn="0" w:lastRowFirstColumn="0" w:lastRowLastColumn="0"/>
            </w:pPr>
          </w:p>
        </w:tc>
      </w:tr>
    </w:tbl>
    <w:p w14:paraId="5044D84E" w14:textId="77777777" w:rsidR="00F25048" w:rsidRDefault="00F25048" w:rsidP="00F25048">
      <w:pPr>
        <w:pStyle w:val="Heading1"/>
      </w:pPr>
      <w:r>
        <w:t>Definitions</w:t>
      </w:r>
      <w:r>
        <w:rPr>
          <w:rStyle w:val="EndnoteReference"/>
        </w:rPr>
        <w:endnoteReference w:id="4"/>
      </w:r>
    </w:p>
    <w:p w14:paraId="7C2B12BB" w14:textId="13DE5475" w:rsidR="00F25048" w:rsidRDefault="00F25048" w:rsidP="00F25048">
      <w:pPr>
        <w:pStyle w:val="ListParagraph"/>
        <w:numPr>
          <w:ilvl w:val="0"/>
          <w:numId w:val="1"/>
        </w:numPr>
        <w:spacing w:after="0"/>
      </w:pPr>
      <w:proofErr w:type="gramStart"/>
      <w:r>
        <w:t>Medium-complexity</w:t>
      </w:r>
      <w:proofErr w:type="gramEnd"/>
      <w:r>
        <w:t xml:space="preserve">: This includes behavioral interventions and studies involving sample collection or imaging done during a single interaction with a study participant or when the probability of harm is limited to the immediate circumstances of the research encounter. For example, studies involving an MRI with contrast, bone marrow sample collection for research purposes, or CSF or biopsy material collection in the context of a clinical encounter or when the remainder of the study-related activities </w:t>
      </w:r>
      <w:r w:rsidR="003B0597">
        <w:t>is</w:t>
      </w:r>
      <w:r>
        <w:t xml:space="preserve"> considered to be no more than minimal risk.</w:t>
      </w:r>
    </w:p>
    <w:p w14:paraId="1B7A8D71" w14:textId="46EA949A" w:rsidR="00F25048" w:rsidRDefault="00F25048" w:rsidP="00F25048">
      <w:pPr>
        <w:pStyle w:val="ListParagraph"/>
        <w:numPr>
          <w:ilvl w:val="0"/>
          <w:numId w:val="1"/>
        </w:numPr>
        <w:spacing w:after="0"/>
      </w:pPr>
      <w:r>
        <w:t>High-complexity: (1) Phase I – III interventional studies, and all studies under an Investigational New Drug [IND] or Investigational Device Exemption [IDE] with the FDA. (2) Other studies may not be under an IND or IDE, where a participant is exposed to risk for an extended period or for which the risk might change with time.</w:t>
      </w:r>
    </w:p>
    <w:p w14:paraId="54EAD6F2" w14:textId="77777777" w:rsidR="00F25048" w:rsidRDefault="00F25048" w:rsidP="008F6B1C">
      <w:pPr>
        <w:spacing w:after="0"/>
      </w:pPr>
    </w:p>
    <w:sectPr w:rsidR="00F25048" w:rsidSect="00B02B9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22744" w14:textId="77777777" w:rsidR="00387D06" w:rsidRDefault="00387D06" w:rsidP="008F6B1C">
      <w:pPr>
        <w:spacing w:after="0" w:line="240" w:lineRule="auto"/>
      </w:pPr>
      <w:r>
        <w:separator/>
      </w:r>
    </w:p>
  </w:endnote>
  <w:endnote w:type="continuationSeparator" w:id="0">
    <w:p w14:paraId="6A0C88CA" w14:textId="77777777" w:rsidR="00387D06" w:rsidRDefault="00387D06" w:rsidP="008F6B1C">
      <w:pPr>
        <w:spacing w:after="0" w:line="240" w:lineRule="auto"/>
      </w:pPr>
      <w:r>
        <w:continuationSeparator/>
      </w:r>
    </w:p>
  </w:endnote>
  <w:endnote w:id="1">
    <w:p w14:paraId="74A58E96" w14:textId="68ED212A" w:rsidR="00DA2625" w:rsidRPr="00DA2625" w:rsidRDefault="00DA2625" w:rsidP="00DA2625">
      <w:pPr>
        <w:pStyle w:val="EndnoteText"/>
      </w:pPr>
      <w:r>
        <w:rPr>
          <w:rStyle w:val="EndnoteReference"/>
        </w:rPr>
        <w:endnoteRef/>
      </w:r>
      <w:r w:rsidRPr="00DA2625">
        <w:t xml:space="preserve"> </w:t>
      </w:r>
      <w:hyperlink r:id="rId1" w:anchor="non_sig_risk" w:history="1">
        <w:r w:rsidRPr="00DA2625">
          <w:rPr>
            <w:rStyle w:val="Hyperlink"/>
          </w:rPr>
          <w:t>FDA g</w:t>
        </w:r>
        <w:r w:rsidRPr="00792CA2">
          <w:rPr>
            <w:rStyle w:val="Hyperlink"/>
          </w:rPr>
          <w:t>uidance</w:t>
        </w:r>
      </w:hyperlink>
      <w:r w:rsidRPr="00792CA2">
        <w:t xml:space="preserve">: </w:t>
      </w:r>
      <w:r w:rsidRPr="00DA2625">
        <w:t>The sponsor also must comply with the abbreviated IDE requirements under </w:t>
      </w:r>
      <w:hyperlink r:id="rId2" w:history="1">
        <w:r w:rsidRPr="00DA2625">
          <w:rPr>
            <w:rStyle w:val="Hyperlink"/>
          </w:rPr>
          <w:t>§812.2 (b)</w:t>
        </w:r>
      </w:hyperlink>
      <w:r w:rsidRPr="00DA2625">
        <w:t>:</w:t>
      </w:r>
    </w:p>
    <w:p w14:paraId="6D393C6D" w14:textId="77777777" w:rsidR="00DA2625" w:rsidRDefault="00DA2625" w:rsidP="00DA2625">
      <w:pPr>
        <w:pStyle w:val="EndnoteText"/>
        <w:numPr>
          <w:ilvl w:val="0"/>
          <w:numId w:val="8"/>
        </w:numPr>
      </w:pPr>
      <w:r w:rsidRPr="00DA2625">
        <w:t>Labeling - The device must be labeled in accordance with the labeling provisions of the IDE regulations (</w:t>
      </w:r>
      <w:hyperlink r:id="rId3" w:history="1">
        <w:r w:rsidRPr="00DA2625">
          <w:rPr>
            <w:rStyle w:val="Hyperlink"/>
          </w:rPr>
          <w:t>§812.5</w:t>
        </w:r>
      </w:hyperlink>
      <w:r w:rsidRPr="00DA2625">
        <w:t>) and must bear the statement "CAUTION - Investigational Device. Limited by Federal (or United States) law to investigational use.";</w:t>
      </w:r>
      <w:r w:rsidRPr="00DA2625">
        <w:br/>
        <w:t xml:space="preserve">IRB Approval – The sponsor must obtain and maintain Investigational Review Board (IRB) approval throughout the investigation as a nonsignificant risk device </w:t>
      </w:r>
      <w:proofErr w:type="gramStart"/>
      <w:r w:rsidRPr="00DA2625">
        <w:t>study;</w:t>
      </w:r>
      <w:proofErr w:type="gramEnd"/>
    </w:p>
    <w:p w14:paraId="5D9E28B5" w14:textId="77777777" w:rsidR="00DA2625" w:rsidRDefault="00DA2625" w:rsidP="00DA2625">
      <w:pPr>
        <w:pStyle w:val="EndnoteText"/>
        <w:numPr>
          <w:ilvl w:val="0"/>
          <w:numId w:val="8"/>
        </w:numPr>
      </w:pPr>
      <w:r w:rsidRPr="00DA2625">
        <w:t>Informed Consent – The sponsor must assure that investigators obtain and document informed consent from each subject according to </w:t>
      </w:r>
      <w:hyperlink r:id="rId4" w:history="1">
        <w:r w:rsidRPr="00DA2625">
          <w:rPr>
            <w:rStyle w:val="Hyperlink"/>
          </w:rPr>
          <w:t>21 CFR 50</w:t>
        </w:r>
      </w:hyperlink>
      <w:r w:rsidRPr="00DA2625">
        <w:t>, Protection of Human Subjects, unless documentation is waived by an IRB in accordance with §56.109(c);</w:t>
      </w:r>
    </w:p>
    <w:p w14:paraId="3EDC079B" w14:textId="77777777" w:rsidR="00DA2625" w:rsidRDefault="00DA2625" w:rsidP="00DA2625">
      <w:pPr>
        <w:pStyle w:val="EndnoteText"/>
        <w:numPr>
          <w:ilvl w:val="0"/>
          <w:numId w:val="8"/>
        </w:numPr>
      </w:pPr>
      <w:r w:rsidRPr="00DA2625">
        <w:t>Monitoring - All investigations must be properly monitored to protect the human subjects and assure compliance with approved protocols (</w:t>
      </w:r>
      <w:hyperlink r:id="rId5" w:history="1">
        <w:r w:rsidRPr="00DA2625">
          <w:rPr>
            <w:rStyle w:val="Hyperlink"/>
          </w:rPr>
          <w:t>§812.46</w:t>
        </w:r>
      </w:hyperlink>
      <w:r w:rsidRPr="00DA2625">
        <w:t>). Guidance on monitoring investigations can be found in Guideline for the Monitoring of Clinical Investigations.</w:t>
      </w:r>
    </w:p>
    <w:p w14:paraId="35E56397" w14:textId="4D011DAB" w:rsidR="00DA2625" w:rsidRPr="00DA2625" w:rsidRDefault="00DA2625" w:rsidP="00DA2625">
      <w:pPr>
        <w:pStyle w:val="EndnoteText"/>
        <w:numPr>
          <w:ilvl w:val="0"/>
          <w:numId w:val="8"/>
        </w:numPr>
      </w:pPr>
      <w:r w:rsidRPr="00DA2625">
        <w:t>Records and Reports - Sponsors are required to maintain specific records and make certain reports as required by the IDE regulations (</w:t>
      </w:r>
      <w:hyperlink r:id="rId6" w:history="1">
        <w:r w:rsidRPr="00DA2625">
          <w:rPr>
            <w:rStyle w:val="Hyperlink"/>
          </w:rPr>
          <w:t>§812.2(b)(1)(v)</w:t>
        </w:r>
      </w:hyperlink>
      <w:r w:rsidRPr="00DA2625">
        <w:t>).</w:t>
      </w:r>
    </w:p>
    <w:p w14:paraId="232F8EF3" w14:textId="77777777" w:rsidR="00DA2625" w:rsidRDefault="00DA2625" w:rsidP="00DA2625">
      <w:pPr>
        <w:pStyle w:val="EndnoteText"/>
        <w:numPr>
          <w:ilvl w:val="0"/>
          <w:numId w:val="8"/>
        </w:numPr>
      </w:pPr>
      <w:r w:rsidRPr="00DA2625">
        <w:t>Investigator Records and Reports – The sponsor must assure that participating investigators maintain records and make reports as required (see Responsibilities of Investigators); and</w:t>
      </w:r>
      <w:r>
        <w:t xml:space="preserve"> </w:t>
      </w:r>
    </w:p>
    <w:p w14:paraId="402DEFCE" w14:textId="7BD7DC68" w:rsidR="00DA2625" w:rsidRPr="00DA2625" w:rsidRDefault="00DA2625" w:rsidP="00DA2625">
      <w:pPr>
        <w:pStyle w:val="EndnoteText"/>
        <w:numPr>
          <w:ilvl w:val="0"/>
          <w:numId w:val="8"/>
        </w:numPr>
      </w:pPr>
      <w:r w:rsidRPr="00DA2625">
        <w:t>Prohibitions –Commercialization, promotion, test marketing, misrepresentation of an investigational device, and prolongation of the study are prohibited (</w:t>
      </w:r>
      <w:hyperlink r:id="rId7" w:history="1">
        <w:r w:rsidRPr="00DA2625">
          <w:rPr>
            <w:rStyle w:val="Hyperlink"/>
          </w:rPr>
          <w:t>§812.7</w:t>
        </w:r>
      </w:hyperlink>
      <w:r w:rsidRPr="00DA2625">
        <w:t>).</w:t>
      </w:r>
    </w:p>
    <w:p w14:paraId="49B9393C" w14:textId="3D559677" w:rsidR="00DA2625" w:rsidRPr="00792CA2" w:rsidRDefault="00DA2625">
      <w:pPr>
        <w:pStyle w:val="EndnoteText"/>
        <w:rPr>
          <w:b/>
          <w:bCs/>
        </w:rPr>
      </w:pPr>
    </w:p>
  </w:endnote>
  <w:endnote w:id="2">
    <w:p w14:paraId="1166194B" w14:textId="060902A9" w:rsidR="008F6B1C" w:rsidRPr="0038020C" w:rsidRDefault="008F6B1C">
      <w:pPr>
        <w:pStyle w:val="EndnoteText"/>
      </w:pPr>
      <w:r>
        <w:rPr>
          <w:rStyle w:val="EndnoteReference"/>
        </w:rPr>
        <w:endnoteRef/>
      </w:r>
      <w:r w:rsidRPr="0038020C">
        <w:t xml:space="preserve"> </w:t>
      </w:r>
      <w:hyperlink r:id="rId8" w:history="1">
        <w:r w:rsidRPr="0038020C">
          <w:rPr>
            <w:rStyle w:val="Hyperlink"/>
          </w:rPr>
          <w:t>http://irb.emory.edu/documents/DSMB-DSMPGuidance.pdf</w:t>
        </w:r>
      </w:hyperlink>
      <w:r w:rsidRPr="0038020C">
        <w:t xml:space="preserve"> </w:t>
      </w:r>
    </w:p>
  </w:endnote>
  <w:endnote w:id="3">
    <w:p w14:paraId="7BD7A7F2" w14:textId="77777777" w:rsidR="00AB1527" w:rsidRDefault="00AB1527" w:rsidP="00AB1527">
      <w:pPr>
        <w:spacing w:after="0"/>
      </w:pPr>
      <w:r>
        <w:rPr>
          <w:rStyle w:val="EndnoteReference"/>
        </w:rPr>
        <w:endnoteRef/>
      </w:r>
      <w:r>
        <w:t xml:space="preserve"> DSMBs should be required when the answer is yes to two or more of the following questions:</w:t>
      </w:r>
    </w:p>
    <w:p w14:paraId="1B52EC0C" w14:textId="77777777" w:rsidR="00AB1527" w:rsidRDefault="00AB1527" w:rsidP="00AB1527">
      <w:pPr>
        <w:pStyle w:val="ListParagraph"/>
        <w:numPr>
          <w:ilvl w:val="0"/>
          <w:numId w:val="2"/>
        </w:numPr>
        <w:spacing w:after="0"/>
      </w:pPr>
      <w:r>
        <w:t>Is there a large study population, or are there multiple study sites?</w:t>
      </w:r>
    </w:p>
    <w:p w14:paraId="57364905" w14:textId="77777777" w:rsidR="00AB1527" w:rsidRDefault="00AB1527" w:rsidP="00AB1527">
      <w:pPr>
        <w:pStyle w:val="ListParagraph"/>
        <w:numPr>
          <w:ilvl w:val="0"/>
          <w:numId w:val="2"/>
        </w:numPr>
        <w:spacing w:after="0"/>
      </w:pPr>
      <w:r>
        <w:t>Is the trial intended to provide definitive information about the effectiveness and/or safety of medical intervention?</w:t>
      </w:r>
    </w:p>
    <w:p w14:paraId="589C3BA7" w14:textId="77777777" w:rsidR="00AB1527" w:rsidRDefault="00AB1527" w:rsidP="00AB1527">
      <w:pPr>
        <w:pStyle w:val="ListParagraph"/>
        <w:numPr>
          <w:ilvl w:val="0"/>
          <w:numId w:val="2"/>
        </w:numPr>
        <w:spacing w:after="0"/>
      </w:pPr>
      <w:r>
        <w:t>Do prior data suggest that the intervention being studied has the potential to induce unacceptable toxicity?</w:t>
      </w:r>
    </w:p>
    <w:p w14:paraId="7CA952A7" w14:textId="77777777" w:rsidR="00AB1527" w:rsidRDefault="00AB1527" w:rsidP="00AB1527">
      <w:pPr>
        <w:pStyle w:val="ListParagraph"/>
        <w:numPr>
          <w:ilvl w:val="0"/>
          <w:numId w:val="2"/>
        </w:numPr>
        <w:spacing w:after="0"/>
      </w:pPr>
      <w:r>
        <w:t>Does the trial evaluate mortality or another major endpoint, such that inferiority of one treatment arm has safety and effectiveness implications?</w:t>
      </w:r>
    </w:p>
    <w:p w14:paraId="06D4BA78" w14:textId="77777777" w:rsidR="00AB1527" w:rsidRDefault="00AB1527" w:rsidP="00AB1527">
      <w:pPr>
        <w:pStyle w:val="ListParagraph"/>
        <w:numPr>
          <w:ilvl w:val="0"/>
          <w:numId w:val="2"/>
        </w:numPr>
        <w:spacing w:after="0"/>
      </w:pPr>
      <w:r>
        <w:t>Would it be ethically important for the trial to stop early if the primary question addressed has been definitively answered, even if secondary questions or complete safety information were not yet fully addressed?</w:t>
      </w:r>
    </w:p>
  </w:endnote>
  <w:endnote w:id="4">
    <w:p w14:paraId="4790E51E" w14:textId="77777777" w:rsidR="00F25048" w:rsidRDefault="00F25048" w:rsidP="00F25048">
      <w:pPr>
        <w:pStyle w:val="EndnoteText"/>
      </w:pPr>
      <w:r>
        <w:rPr>
          <w:rStyle w:val="EndnoteReference"/>
        </w:rPr>
        <w:endnoteRef/>
      </w:r>
      <w:r>
        <w:t xml:space="preserve"> </w:t>
      </w:r>
      <w:hyperlink r:id="rId9" w:history="1">
        <w:r w:rsidRPr="00AA4E01">
          <w:rPr>
            <w:rStyle w:val="Hyperlink"/>
          </w:rPr>
          <w:t>http://irb.emory.edu/documents/DSMP_requirements_ver_2-2-2021.pdf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EEFFF" w14:textId="417A4D96" w:rsidR="001E5A5C" w:rsidRDefault="001E5A5C">
    <w:pPr>
      <w:pStyle w:val="Footer"/>
    </w:pPr>
    <w:r>
      <w:t>Version 3/</w:t>
    </w:r>
    <w:r w:rsidR="00792CA2">
      <w:t>2</w:t>
    </w:r>
    <w:r>
      <w:t>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9585D" w14:textId="77777777" w:rsidR="00387D06" w:rsidRDefault="00387D06" w:rsidP="008F6B1C">
      <w:pPr>
        <w:spacing w:after="0" w:line="240" w:lineRule="auto"/>
      </w:pPr>
      <w:r>
        <w:separator/>
      </w:r>
    </w:p>
  </w:footnote>
  <w:footnote w:type="continuationSeparator" w:id="0">
    <w:p w14:paraId="48B523C5" w14:textId="77777777" w:rsidR="00387D06" w:rsidRDefault="00387D06" w:rsidP="008F6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770D5"/>
    <w:multiLevelType w:val="hybridMultilevel"/>
    <w:tmpl w:val="C0DE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5AE7"/>
    <w:multiLevelType w:val="hybridMultilevel"/>
    <w:tmpl w:val="1ED0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75C78"/>
    <w:multiLevelType w:val="multilevel"/>
    <w:tmpl w:val="794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74F84"/>
    <w:multiLevelType w:val="hybridMultilevel"/>
    <w:tmpl w:val="5C00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574B9"/>
    <w:multiLevelType w:val="hybridMultilevel"/>
    <w:tmpl w:val="60D0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85472"/>
    <w:multiLevelType w:val="hybridMultilevel"/>
    <w:tmpl w:val="49D0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D14A68"/>
    <w:multiLevelType w:val="hybridMultilevel"/>
    <w:tmpl w:val="5C4C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D6D6A"/>
    <w:multiLevelType w:val="hybridMultilevel"/>
    <w:tmpl w:val="7C42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NzY1A1KWhqYWRko6SsGpxcWZ+XkgBea1AIaBpgQsAAAA"/>
  </w:docVars>
  <w:rsids>
    <w:rsidRoot w:val="008F6B1C"/>
    <w:rsid w:val="00063F98"/>
    <w:rsid w:val="000E79CD"/>
    <w:rsid w:val="00180CFA"/>
    <w:rsid w:val="001E5A5C"/>
    <w:rsid w:val="002F1213"/>
    <w:rsid w:val="00340FB1"/>
    <w:rsid w:val="0038020C"/>
    <w:rsid w:val="00382732"/>
    <w:rsid w:val="00387D06"/>
    <w:rsid w:val="003B0597"/>
    <w:rsid w:val="00601499"/>
    <w:rsid w:val="006B1DF1"/>
    <w:rsid w:val="00792CA2"/>
    <w:rsid w:val="007E3FFC"/>
    <w:rsid w:val="008F6B1C"/>
    <w:rsid w:val="009A1F63"/>
    <w:rsid w:val="009D3B1D"/>
    <w:rsid w:val="00AB1527"/>
    <w:rsid w:val="00B02B94"/>
    <w:rsid w:val="00B42AD6"/>
    <w:rsid w:val="00C26C6E"/>
    <w:rsid w:val="00D108EC"/>
    <w:rsid w:val="00DA2625"/>
    <w:rsid w:val="00F21B1D"/>
    <w:rsid w:val="00F25048"/>
    <w:rsid w:val="00F9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BB09"/>
  <w15:chartTrackingRefBased/>
  <w15:docId w15:val="{2ED9A7F0-60A8-4F76-B81B-92E9FBC3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6B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B1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F6B1C"/>
    <w:pPr>
      <w:ind w:left="720"/>
      <w:contextualSpacing/>
    </w:pPr>
  </w:style>
  <w:style w:type="character" w:customStyle="1" w:styleId="Heading1Char">
    <w:name w:val="Heading 1 Char"/>
    <w:basedOn w:val="DefaultParagraphFont"/>
    <w:link w:val="Heading1"/>
    <w:uiPriority w:val="9"/>
    <w:rsid w:val="008F6B1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8F6B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B1C"/>
    <w:rPr>
      <w:sz w:val="20"/>
      <w:szCs w:val="20"/>
    </w:rPr>
  </w:style>
  <w:style w:type="character" w:styleId="EndnoteReference">
    <w:name w:val="endnote reference"/>
    <w:basedOn w:val="DefaultParagraphFont"/>
    <w:uiPriority w:val="99"/>
    <w:semiHidden/>
    <w:unhideWhenUsed/>
    <w:rsid w:val="008F6B1C"/>
    <w:rPr>
      <w:vertAlign w:val="superscript"/>
    </w:rPr>
  </w:style>
  <w:style w:type="character" w:styleId="Hyperlink">
    <w:name w:val="Hyperlink"/>
    <w:basedOn w:val="DefaultParagraphFont"/>
    <w:uiPriority w:val="99"/>
    <w:unhideWhenUsed/>
    <w:rsid w:val="008F6B1C"/>
    <w:rPr>
      <w:color w:val="0563C1" w:themeColor="hyperlink"/>
      <w:u w:val="single"/>
    </w:rPr>
  </w:style>
  <w:style w:type="character" w:styleId="UnresolvedMention">
    <w:name w:val="Unresolved Mention"/>
    <w:basedOn w:val="DefaultParagraphFont"/>
    <w:uiPriority w:val="99"/>
    <w:semiHidden/>
    <w:unhideWhenUsed/>
    <w:rsid w:val="008F6B1C"/>
    <w:rPr>
      <w:color w:val="605E5C"/>
      <w:shd w:val="clear" w:color="auto" w:fill="E1DFDD"/>
    </w:rPr>
  </w:style>
  <w:style w:type="table" w:styleId="TableGrid">
    <w:name w:val="Table Grid"/>
    <w:basedOn w:val="TableNormal"/>
    <w:uiPriority w:val="39"/>
    <w:rsid w:val="00F2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2504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F250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7Colorful-Accent5">
    <w:name w:val="List Table 7 Colorful Accent 5"/>
    <w:basedOn w:val="TableNormal"/>
    <w:uiPriority w:val="52"/>
    <w:rsid w:val="00F2504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F25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6">
    <w:name w:val="Grid Table 5 Dark Accent 6"/>
    <w:basedOn w:val="TableNormal"/>
    <w:uiPriority w:val="50"/>
    <w:rsid w:val="00F25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1Light-Accent5">
    <w:name w:val="Grid Table 1 Light Accent 5"/>
    <w:basedOn w:val="TableNormal"/>
    <w:uiPriority w:val="46"/>
    <w:rsid w:val="00F2504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E5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A5C"/>
  </w:style>
  <w:style w:type="paragraph" w:styleId="Footer">
    <w:name w:val="footer"/>
    <w:basedOn w:val="Normal"/>
    <w:link w:val="FooterChar"/>
    <w:uiPriority w:val="99"/>
    <w:unhideWhenUsed/>
    <w:rsid w:val="001E5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A5C"/>
  </w:style>
  <w:style w:type="character" w:styleId="CommentReference">
    <w:name w:val="annotation reference"/>
    <w:basedOn w:val="DefaultParagraphFont"/>
    <w:uiPriority w:val="99"/>
    <w:semiHidden/>
    <w:unhideWhenUsed/>
    <w:rsid w:val="002F1213"/>
    <w:rPr>
      <w:sz w:val="16"/>
      <w:szCs w:val="16"/>
    </w:rPr>
  </w:style>
  <w:style w:type="paragraph" w:styleId="CommentText">
    <w:name w:val="annotation text"/>
    <w:basedOn w:val="Normal"/>
    <w:link w:val="CommentTextChar"/>
    <w:uiPriority w:val="99"/>
    <w:semiHidden/>
    <w:unhideWhenUsed/>
    <w:rsid w:val="002F1213"/>
    <w:pPr>
      <w:spacing w:line="240" w:lineRule="auto"/>
    </w:pPr>
    <w:rPr>
      <w:sz w:val="20"/>
      <w:szCs w:val="20"/>
    </w:rPr>
  </w:style>
  <w:style w:type="character" w:customStyle="1" w:styleId="CommentTextChar">
    <w:name w:val="Comment Text Char"/>
    <w:basedOn w:val="DefaultParagraphFont"/>
    <w:link w:val="CommentText"/>
    <w:uiPriority w:val="99"/>
    <w:semiHidden/>
    <w:rsid w:val="002F1213"/>
    <w:rPr>
      <w:sz w:val="20"/>
      <w:szCs w:val="20"/>
    </w:rPr>
  </w:style>
  <w:style w:type="paragraph" w:styleId="CommentSubject">
    <w:name w:val="annotation subject"/>
    <w:basedOn w:val="CommentText"/>
    <w:next w:val="CommentText"/>
    <w:link w:val="CommentSubjectChar"/>
    <w:uiPriority w:val="99"/>
    <w:semiHidden/>
    <w:unhideWhenUsed/>
    <w:rsid w:val="002F1213"/>
    <w:rPr>
      <w:b/>
      <w:bCs/>
    </w:rPr>
  </w:style>
  <w:style w:type="character" w:customStyle="1" w:styleId="CommentSubjectChar">
    <w:name w:val="Comment Subject Char"/>
    <w:basedOn w:val="CommentTextChar"/>
    <w:link w:val="CommentSubject"/>
    <w:uiPriority w:val="99"/>
    <w:semiHidden/>
    <w:rsid w:val="002F1213"/>
    <w:rPr>
      <w:b/>
      <w:bCs/>
      <w:sz w:val="20"/>
      <w:szCs w:val="20"/>
    </w:rPr>
  </w:style>
  <w:style w:type="paragraph" w:styleId="BalloonText">
    <w:name w:val="Balloon Text"/>
    <w:basedOn w:val="Normal"/>
    <w:link w:val="BalloonTextChar"/>
    <w:uiPriority w:val="99"/>
    <w:semiHidden/>
    <w:unhideWhenUsed/>
    <w:rsid w:val="00AB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27"/>
    <w:rPr>
      <w:rFonts w:ascii="Segoe UI" w:hAnsi="Segoe UI" w:cs="Segoe UI"/>
      <w:sz w:val="18"/>
      <w:szCs w:val="18"/>
    </w:rPr>
  </w:style>
  <w:style w:type="paragraph" w:styleId="NormalWeb">
    <w:name w:val="Normal (Web)"/>
    <w:basedOn w:val="Normal"/>
    <w:uiPriority w:val="99"/>
    <w:semiHidden/>
    <w:unhideWhenUsed/>
    <w:rsid w:val="00DA26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105594">
      <w:bodyDiv w:val="1"/>
      <w:marLeft w:val="0"/>
      <w:marRight w:val="0"/>
      <w:marTop w:val="0"/>
      <w:marBottom w:val="0"/>
      <w:divBdr>
        <w:top w:val="none" w:sz="0" w:space="0" w:color="auto"/>
        <w:left w:val="none" w:sz="0" w:space="0" w:color="auto"/>
        <w:bottom w:val="none" w:sz="0" w:space="0" w:color="auto"/>
        <w:right w:val="none" w:sz="0" w:space="0" w:color="auto"/>
      </w:divBdr>
    </w:div>
    <w:div w:id="197848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liance.emory.edu/documents/eu_self_monitoring_tool.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irb.emory.edu/documents/DSMB-DSMPGuidance.pdf" TargetMode="External"/><Relationship Id="rId3" Type="http://schemas.openxmlformats.org/officeDocument/2006/relationships/hyperlink" Target="https://www.accessdata.fda.gov/scripts/cdrh/cfdocs/cfCFR/CFRSearch.cfm?FR=812.5" TargetMode="External"/><Relationship Id="rId7" Type="http://schemas.openxmlformats.org/officeDocument/2006/relationships/hyperlink" Target="https://www.accessdata.fda.gov/scripts/cdrh/cfdocs/cfCFR/CFRSearch.cfm?FR=812.7" TargetMode="External"/><Relationship Id="rId2" Type="http://schemas.openxmlformats.org/officeDocument/2006/relationships/hyperlink" Target="https://www.accessdata.fda.gov/scripts/cdrh/cfdocs/cfCFR/CFRSearch.cfm?FR=812.2" TargetMode="External"/><Relationship Id="rId1" Type="http://schemas.openxmlformats.org/officeDocument/2006/relationships/hyperlink" Target="https://www.fda.gov/medical-devices/investigational-device-exemption-ide/ide-approval-process" TargetMode="External"/><Relationship Id="rId6" Type="http://schemas.openxmlformats.org/officeDocument/2006/relationships/hyperlink" Target="https://www.accessdata.fda.gov/scripts/cdrh/cfdocs/cfCFR/CFRSearch.cfm?fr=812.2" TargetMode="External"/><Relationship Id="rId5" Type="http://schemas.openxmlformats.org/officeDocument/2006/relationships/hyperlink" Target="https://www.accessdata.fda.gov/scripts/cdrh/cfdocs/cfCFR/CFRSearch.cfm?fr=812.46" TargetMode="External"/><Relationship Id="rId4" Type="http://schemas.openxmlformats.org/officeDocument/2006/relationships/hyperlink" Target="https://www.accessdata.fda.gov/scripts/cdrh/cfdocs/cfCFR/CFRSearch.cfm?CFRPart=50" TargetMode="External"/><Relationship Id="rId9" Type="http://schemas.openxmlformats.org/officeDocument/2006/relationships/hyperlink" Target="http://irb.emory.edu/documents/DSMP_requirements_ver_2-2-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E405-AFA9-45D7-9D74-0CB459A8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Davila, Maria G.</cp:lastModifiedBy>
  <cp:revision>2</cp:revision>
  <dcterms:created xsi:type="dcterms:W3CDTF">2021-03-26T20:21:00Z</dcterms:created>
  <dcterms:modified xsi:type="dcterms:W3CDTF">2021-03-26T20:21:00Z</dcterms:modified>
</cp:coreProperties>
</file>