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5C918" w14:textId="5E280D28" w:rsidR="00B65D6A" w:rsidRPr="00CC3EB4" w:rsidRDefault="006D3996" w:rsidP="00C662AA">
      <w:pPr>
        <w:spacing w:after="0" w:line="240" w:lineRule="auto"/>
        <w:jc w:val="center"/>
        <w:rPr>
          <w:b/>
          <w:sz w:val="36"/>
          <w:szCs w:val="20"/>
        </w:rPr>
      </w:pPr>
      <w:bookmarkStart w:id="0" w:name="_GoBack"/>
      <w:bookmarkEnd w:id="0"/>
      <w:r w:rsidRPr="00CC3EB4">
        <w:rPr>
          <w:b/>
          <w:sz w:val="36"/>
          <w:szCs w:val="20"/>
        </w:rPr>
        <w:t xml:space="preserve">Investigator </w:t>
      </w:r>
      <w:r w:rsidR="002D6821" w:rsidRPr="00CC3EB4">
        <w:rPr>
          <w:b/>
          <w:sz w:val="36"/>
          <w:szCs w:val="20"/>
        </w:rPr>
        <w:t xml:space="preserve">Justification </w:t>
      </w:r>
      <w:r w:rsidR="00C662AA" w:rsidRPr="00CC3EB4">
        <w:rPr>
          <w:b/>
          <w:sz w:val="36"/>
          <w:szCs w:val="20"/>
        </w:rPr>
        <w:t>for IND</w:t>
      </w:r>
      <w:r w:rsidR="007610F3" w:rsidRPr="00CC3EB4">
        <w:rPr>
          <w:b/>
          <w:sz w:val="36"/>
          <w:szCs w:val="20"/>
        </w:rPr>
        <w:t xml:space="preserve"> Exemption</w:t>
      </w:r>
    </w:p>
    <w:p w14:paraId="42889B58" w14:textId="77777777" w:rsidR="00B65D6A" w:rsidRPr="00B65D6A" w:rsidRDefault="00B65D6A" w:rsidP="00B65D6A">
      <w:pPr>
        <w:rPr>
          <w:sz w:val="20"/>
          <w:szCs w:val="20"/>
        </w:rPr>
      </w:pPr>
    </w:p>
    <w:p w14:paraId="329A7041" w14:textId="084AF862" w:rsidR="00B65D6A" w:rsidRPr="00CC3EB4" w:rsidRDefault="00A65224" w:rsidP="00B65D6A">
      <w:pPr>
        <w:rPr>
          <w:b/>
          <w:sz w:val="24"/>
          <w:szCs w:val="24"/>
        </w:rPr>
      </w:pPr>
      <w:r w:rsidRPr="00CC3EB4">
        <w:rPr>
          <w:b/>
          <w:sz w:val="24"/>
          <w:szCs w:val="24"/>
        </w:rPr>
        <w:t>Background:</w:t>
      </w:r>
      <w:r w:rsidRPr="00CC3EB4">
        <w:rPr>
          <w:sz w:val="24"/>
          <w:szCs w:val="24"/>
        </w:rPr>
        <w:t xml:space="preserve"> For FDA-regulated </w:t>
      </w:r>
      <w:r w:rsidR="00B65D6A" w:rsidRPr="00CC3EB4">
        <w:rPr>
          <w:sz w:val="24"/>
          <w:szCs w:val="24"/>
        </w:rPr>
        <w:t xml:space="preserve">research studies using </w:t>
      </w:r>
      <w:r w:rsidR="00495447" w:rsidRPr="00CC3EB4">
        <w:rPr>
          <w:sz w:val="24"/>
          <w:szCs w:val="24"/>
        </w:rPr>
        <w:t>unapproved drugs</w:t>
      </w:r>
      <w:r w:rsidRPr="00CC3EB4">
        <w:rPr>
          <w:sz w:val="24"/>
          <w:szCs w:val="24"/>
        </w:rPr>
        <w:t xml:space="preserve">, or using </w:t>
      </w:r>
      <w:r w:rsidR="00495447" w:rsidRPr="00CC3EB4">
        <w:rPr>
          <w:sz w:val="24"/>
          <w:szCs w:val="24"/>
        </w:rPr>
        <w:t>drugs outside of their approved indication</w:t>
      </w:r>
      <w:r w:rsidR="00B65D6A" w:rsidRPr="00CC3EB4">
        <w:rPr>
          <w:sz w:val="24"/>
          <w:szCs w:val="24"/>
        </w:rPr>
        <w:t xml:space="preserve">, the </w:t>
      </w:r>
      <w:r w:rsidRPr="00CC3EB4">
        <w:rPr>
          <w:sz w:val="24"/>
          <w:szCs w:val="24"/>
        </w:rPr>
        <w:t>regulations require</w:t>
      </w:r>
      <w:r w:rsidR="00B65D6A" w:rsidRPr="00CC3EB4">
        <w:rPr>
          <w:sz w:val="24"/>
          <w:szCs w:val="24"/>
        </w:rPr>
        <w:t xml:space="preserve"> a) </w:t>
      </w:r>
      <w:r w:rsidRPr="00CC3EB4">
        <w:rPr>
          <w:sz w:val="24"/>
          <w:szCs w:val="24"/>
        </w:rPr>
        <w:t>an</w:t>
      </w:r>
      <w:r w:rsidR="00B65D6A" w:rsidRPr="00CC3EB4">
        <w:rPr>
          <w:sz w:val="24"/>
          <w:szCs w:val="24"/>
        </w:rPr>
        <w:t xml:space="preserve"> FDA-assigned IND number </w:t>
      </w:r>
      <w:r w:rsidR="00B65D6A" w:rsidRPr="00CC3EB4">
        <w:rPr>
          <w:i/>
          <w:sz w:val="24"/>
          <w:szCs w:val="24"/>
        </w:rPr>
        <w:t>or</w:t>
      </w:r>
      <w:r w:rsidR="00B65D6A" w:rsidRPr="00CC3EB4">
        <w:rPr>
          <w:sz w:val="24"/>
          <w:szCs w:val="24"/>
        </w:rPr>
        <w:t xml:space="preserve"> b) </w:t>
      </w:r>
      <w:r w:rsidRPr="00CC3EB4">
        <w:rPr>
          <w:sz w:val="24"/>
          <w:szCs w:val="24"/>
        </w:rPr>
        <w:t>a determination that the</w:t>
      </w:r>
      <w:r w:rsidR="00B65D6A" w:rsidRPr="00CC3EB4">
        <w:rPr>
          <w:sz w:val="24"/>
          <w:szCs w:val="24"/>
        </w:rPr>
        <w:t xml:space="preserve"> drug is </w:t>
      </w:r>
      <w:r w:rsidR="00B65D6A" w:rsidRPr="00CC3EB4">
        <w:rPr>
          <w:i/>
          <w:sz w:val="24"/>
          <w:szCs w:val="24"/>
        </w:rPr>
        <w:t>exempt</w:t>
      </w:r>
      <w:r w:rsidR="00B65D6A" w:rsidRPr="00CC3EB4">
        <w:rPr>
          <w:sz w:val="24"/>
          <w:szCs w:val="24"/>
        </w:rPr>
        <w:t xml:space="preserve"> from IND requirements.  </w:t>
      </w:r>
      <w:r w:rsidRPr="00CC3EB4">
        <w:rPr>
          <w:sz w:val="24"/>
          <w:szCs w:val="24"/>
        </w:rPr>
        <w:t>If the FDA has not already made the latter determination, and</w:t>
      </w:r>
      <w:r w:rsidR="00B65D6A" w:rsidRPr="00CC3EB4">
        <w:rPr>
          <w:sz w:val="24"/>
          <w:szCs w:val="24"/>
        </w:rPr>
        <w:t xml:space="preserve"> the PI believes that the use is exempt from IND requirements, the PI will provide </w:t>
      </w:r>
      <w:r w:rsidRPr="00CC3EB4">
        <w:rPr>
          <w:sz w:val="24"/>
          <w:szCs w:val="24"/>
        </w:rPr>
        <w:t>a</w:t>
      </w:r>
      <w:r w:rsidR="00B65D6A" w:rsidRPr="00CC3EB4">
        <w:rPr>
          <w:sz w:val="24"/>
          <w:szCs w:val="24"/>
        </w:rPr>
        <w:t xml:space="preserve"> justification to the IRB</w:t>
      </w:r>
      <w:r w:rsidRPr="00CC3EB4">
        <w:rPr>
          <w:sz w:val="24"/>
          <w:szCs w:val="24"/>
        </w:rPr>
        <w:t xml:space="preserve"> using this form</w:t>
      </w:r>
      <w:r w:rsidR="00B65D6A" w:rsidRPr="00CC3EB4">
        <w:rPr>
          <w:sz w:val="24"/>
          <w:szCs w:val="24"/>
        </w:rPr>
        <w:t xml:space="preserve">.  For more information, please see the </w:t>
      </w:r>
      <w:hyperlink r:id="rId8" w:history="1">
        <w:r w:rsidR="00B65D6A" w:rsidRPr="00CC3EB4">
          <w:rPr>
            <w:rStyle w:val="Hyperlink"/>
            <w:sz w:val="24"/>
            <w:szCs w:val="24"/>
          </w:rPr>
          <w:t>Emory Policies and Procedures</w:t>
        </w:r>
      </w:hyperlink>
      <w:r w:rsidR="00B65D6A" w:rsidRPr="00CC3EB4">
        <w:rPr>
          <w:sz w:val="24"/>
          <w:szCs w:val="24"/>
        </w:rPr>
        <w:t xml:space="preserve"> section 69.  Note, this form should not be used for Vitamins or Supplements; please use the </w:t>
      </w:r>
      <w:hyperlink r:id="rId9" w:history="1">
        <w:r w:rsidR="00B65D6A" w:rsidRPr="00CC3EB4">
          <w:rPr>
            <w:rStyle w:val="Hyperlink"/>
            <w:sz w:val="24"/>
            <w:szCs w:val="24"/>
          </w:rPr>
          <w:t>Dietary Supplements and/or Medical Foods Used in Research</w:t>
        </w:r>
      </w:hyperlink>
      <w:r w:rsidR="00B65D6A" w:rsidRPr="00CC3EB4">
        <w:rPr>
          <w:sz w:val="24"/>
          <w:szCs w:val="24"/>
        </w:rPr>
        <w:t xml:space="preserve"> Form instead. </w:t>
      </w:r>
      <w:r w:rsidR="00B65D6A" w:rsidRPr="00CC3EB4">
        <w:rPr>
          <w:b/>
          <w:sz w:val="24"/>
          <w:szCs w:val="24"/>
        </w:rPr>
        <w:t xml:space="preserve"> </w:t>
      </w:r>
    </w:p>
    <w:p w14:paraId="0B5FBF9C" w14:textId="765493E9" w:rsidR="00A334B2" w:rsidRPr="00CC3EB4" w:rsidRDefault="006D3996" w:rsidP="00A334B2">
      <w:pPr>
        <w:pStyle w:val="FootnoteText"/>
        <w:rPr>
          <w:sz w:val="24"/>
          <w:szCs w:val="24"/>
        </w:rPr>
      </w:pPr>
      <w:r w:rsidRPr="00CC3EB4">
        <w:rPr>
          <w:b/>
          <w:sz w:val="24"/>
          <w:szCs w:val="24"/>
        </w:rPr>
        <w:t>Investigator</w:t>
      </w:r>
      <w:r w:rsidR="007610F3" w:rsidRPr="00CC3EB4">
        <w:rPr>
          <w:b/>
          <w:sz w:val="24"/>
          <w:szCs w:val="24"/>
        </w:rPr>
        <w:t>:</w:t>
      </w:r>
      <w:r w:rsidR="007610F3" w:rsidRPr="00CC3EB4">
        <w:rPr>
          <w:sz w:val="24"/>
          <w:szCs w:val="24"/>
        </w:rPr>
        <w:t xml:space="preserve">  Please complete this form if using a drug that is not FDA-approved for the indication described in the protocol</w:t>
      </w:r>
      <w:r w:rsidR="00A334B2" w:rsidRPr="00CC3EB4">
        <w:rPr>
          <w:sz w:val="24"/>
          <w:szCs w:val="24"/>
        </w:rPr>
        <w:t>,</w:t>
      </w:r>
      <w:r w:rsidR="007F5FA4" w:rsidRPr="00CC3EB4">
        <w:rPr>
          <w:sz w:val="24"/>
          <w:szCs w:val="24"/>
        </w:rPr>
        <w:t xml:space="preserve"> and </w:t>
      </w:r>
      <w:r w:rsidR="00A65224" w:rsidRPr="00CC3EB4">
        <w:rPr>
          <w:sz w:val="24"/>
          <w:szCs w:val="24"/>
        </w:rPr>
        <w:t>you have determined</w:t>
      </w:r>
      <w:r w:rsidR="007F5FA4" w:rsidRPr="00CC3EB4">
        <w:rPr>
          <w:sz w:val="24"/>
          <w:szCs w:val="24"/>
        </w:rPr>
        <w:t xml:space="preserve"> that it meets the criteria for IND exemption</w:t>
      </w:r>
      <w:r w:rsidR="00A65224" w:rsidRPr="00CC3EB4">
        <w:rPr>
          <w:sz w:val="24"/>
          <w:szCs w:val="24"/>
        </w:rPr>
        <w:t xml:space="preserve"> (see below)</w:t>
      </w:r>
      <w:r w:rsidR="007610F3" w:rsidRPr="00CC3EB4">
        <w:rPr>
          <w:sz w:val="24"/>
          <w:szCs w:val="24"/>
        </w:rPr>
        <w:t xml:space="preserve">.  </w:t>
      </w:r>
      <w:r w:rsidR="002369A1" w:rsidRPr="00CC3EB4">
        <w:rPr>
          <w:sz w:val="24"/>
          <w:szCs w:val="24"/>
        </w:rPr>
        <w:t>If the overall investigation</w:t>
      </w:r>
      <w:r w:rsidR="003F15AB" w:rsidRPr="00CC3EB4">
        <w:rPr>
          <w:sz w:val="24"/>
          <w:szCs w:val="24"/>
        </w:rPr>
        <w:t xml:space="preserve"> (which includes this drug)</w:t>
      </w:r>
      <w:r w:rsidR="002369A1" w:rsidRPr="00CC3EB4">
        <w:rPr>
          <w:sz w:val="24"/>
          <w:szCs w:val="24"/>
        </w:rPr>
        <w:t xml:space="preserve"> has an IND from the FDA, </w:t>
      </w:r>
      <w:r w:rsidR="002369A1" w:rsidRPr="00CC3EB4">
        <w:rPr>
          <w:i/>
          <w:sz w:val="24"/>
          <w:szCs w:val="24"/>
        </w:rPr>
        <w:t>this form is not needed</w:t>
      </w:r>
      <w:r w:rsidR="002369A1" w:rsidRPr="00CC3EB4">
        <w:rPr>
          <w:sz w:val="24"/>
          <w:szCs w:val="24"/>
        </w:rPr>
        <w:t>. Otherwise, u</w:t>
      </w:r>
      <w:r w:rsidR="007610F3" w:rsidRPr="00CC3EB4">
        <w:rPr>
          <w:sz w:val="24"/>
          <w:szCs w:val="24"/>
        </w:rPr>
        <w:t xml:space="preserve">pload this form in the </w:t>
      </w:r>
      <w:r w:rsidR="008464AB" w:rsidRPr="00CC3EB4">
        <w:rPr>
          <w:sz w:val="24"/>
          <w:szCs w:val="24"/>
        </w:rPr>
        <w:t xml:space="preserve">“Drugs” </w:t>
      </w:r>
      <w:r w:rsidR="007610F3" w:rsidRPr="00CC3EB4">
        <w:rPr>
          <w:sz w:val="24"/>
          <w:szCs w:val="24"/>
        </w:rPr>
        <w:t xml:space="preserve">section of the </w:t>
      </w:r>
      <w:proofErr w:type="spellStart"/>
      <w:r w:rsidR="007610F3" w:rsidRPr="00CC3EB4">
        <w:rPr>
          <w:sz w:val="24"/>
          <w:szCs w:val="24"/>
        </w:rPr>
        <w:t>Smartform</w:t>
      </w:r>
      <w:proofErr w:type="spellEnd"/>
      <w:r w:rsidR="008464AB" w:rsidRPr="00CC3EB4">
        <w:rPr>
          <w:sz w:val="24"/>
          <w:szCs w:val="24"/>
        </w:rPr>
        <w:t>,</w:t>
      </w:r>
      <w:r w:rsidR="007610F3" w:rsidRPr="00CC3EB4">
        <w:rPr>
          <w:sz w:val="24"/>
          <w:szCs w:val="24"/>
        </w:rPr>
        <w:t xml:space="preserve"> under Question </w:t>
      </w:r>
      <w:r w:rsidR="00CC3EB4">
        <w:rPr>
          <w:sz w:val="24"/>
          <w:szCs w:val="24"/>
        </w:rPr>
        <w:t>3</w:t>
      </w:r>
      <w:r w:rsidR="00A65224" w:rsidRPr="00CC3EB4">
        <w:rPr>
          <w:sz w:val="24"/>
          <w:szCs w:val="24"/>
        </w:rPr>
        <w:t>,</w:t>
      </w:r>
      <w:r w:rsidR="007610F3" w:rsidRPr="00CC3EB4">
        <w:rPr>
          <w:sz w:val="24"/>
          <w:szCs w:val="24"/>
        </w:rPr>
        <w:t xml:space="preserve"> for each applicable drug. </w:t>
      </w:r>
    </w:p>
    <w:p w14:paraId="341E2751" w14:textId="77777777" w:rsidR="00CC3EB4" w:rsidRDefault="00CC3EB4" w:rsidP="00A334B2">
      <w:pPr>
        <w:pStyle w:val="FootnoteText"/>
        <w:rPr>
          <w:b/>
          <w:i/>
          <w:sz w:val="22"/>
          <w:szCs w:val="22"/>
        </w:rPr>
      </w:pPr>
    </w:p>
    <w:p w14:paraId="31FF0D2B" w14:textId="503C4B36" w:rsidR="00A334B2" w:rsidRPr="00CC3EB4" w:rsidRDefault="00A334B2" w:rsidP="00A334B2">
      <w:pPr>
        <w:pStyle w:val="FootnoteText"/>
        <w:rPr>
          <w:i/>
          <w:sz w:val="22"/>
          <w:szCs w:val="22"/>
        </w:rPr>
      </w:pPr>
      <w:r w:rsidRPr="00CC3EB4">
        <w:rPr>
          <w:b/>
          <w:i/>
          <w:sz w:val="22"/>
          <w:szCs w:val="22"/>
        </w:rPr>
        <w:t>NOTE</w:t>
      </w:r>
      <w:r w:rsidRPr="00CC3EB4">
        <w:rPr>
          <w:i/>
          <w:sz w:val="22"/>
          <w:szCs w:val="22"/>
        </w:rPr>
        <w:t xml:space="preserve">: Two or more drugs may only be listed on one form if the answers to all questions will be the </w:t>
      </w:r>
      <w:r w:rsidRPr="00CC3EB4">
        <w:rPr>
          <w:b/>
          <w:i/>
          <w:sz w:val="22"/>
          <w:szCs w:val="22"/>
        </w:rPr>
        <w:t>same</w:t>
      </w:r>
      <w:r w:rsidRPr="00CC3EB4">
        <w:rPr>
          <w:i/>
          <w:sz w:val="22"/>
          <w:szCs w:val="22"/>
        </w:rPr>
        <w:t xml:space="preserve"> for all drugs.  </w:t>
      </w:r>
    </w:p>
    <w:p w14:paraId="586FCDCB" w14:textId="506FF486" w:rsidR="007610F3" w:rsidRPr="00B65D6A" w:rsidRDefault="007610F3" w:rsidP="00013023">
      <w:pPr>
        <w:spacing w:after="0" w:line="240" w:lineRule="auto"/>
        <w:contextualSpacing/>
        <w:rPr>
          <w:sz w:val="20"/>
          <w:szCs w:val="20"/>
        </w:rPr>
      </w:pPr>
    </w:p>
    <w:p w14:paraId="64B3A26A" w14:textId="77777777" w:rsidR="00584735" w:rsidRPr="00B65D6A" w:rsidRDefault="00584735" w:rsidP="00584735">
      <w:pPr>
        <w:spacing w:after="0" w:line="240" w:lineRule="auto"/>
        <w:contextualSpacing/>
        <w:rPr>
          <w:sz w:val="20"/>
          <w:szCs w:val="20"/>
        </w:rPr>
      </w:pPr>
    </w:p>
    <w:p w14:paraId="5436BB4A" w14:textId="64854FB2" w:rsidR="007610F3" w:rsidRPr="00CC3EB4" w:rsidRDefault="007610F3" w:rsidP="00C662A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C3EB4">
        <w:rPr>
          <w:sz w:val="24"/>
          <w:szCs w:val="24"/>
        </w:rPr>
        <w:t>IRB number:</w:t>
      </w:r>
      <w:r w:rsidR="00D3591D" w:rsidRPr="00CC3EB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812319620"/>
          <w:placeholder>
            <w:docPart w:val="DefaultPlaceholder_-1854013440"/>
          </w:placeholder>
          <w:showingPlcHdr/>
        </w:sdtPr>
        <w:sdtEndPr/>
        <w:sdtContent>
          <w:r w:rsidR="00CC3EB4" w:rsidRPr="00CC3EB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2BBD7DB" w14:textId="4BCC3ECF" w:rsidR="007610F3" w:rsidRPr="00CC3EB4" w:rsidRDefault="00FE392F" w:rsidP="00C662A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C3EB4">
        <w:rPr>
          <w:sz w:val="24"/>
          <w:szCs w:val="24"/>
        </w:rPr>
        <w:t>PI</w:t>
      </w:r>
      <w:r w:rsidR="007610F3" w:rsidRPr="00CC3EB4">
        <w:rPr>
          <w:sz w:val="24"/>
          <w:szCs w:val="24"/>
        </w:rPr>
        <w:t xml:space="preserve"> Name:</w:t>
      </w:r>
      <w:r w:rsidR="00D3591D" w:rsidRPr="00CC3EB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2465208"/>
          <w:placeholder>
            <w:docPart w:val="DefaultPlaceholder_-1854013440"/>
          </w:placeholder>
          <w:showingPlcHdr/>
        </w:sdtPr>
        <w:sdtEndPr/>
        <w:sdtContent>
          <w:r w:rsidR="00CC3EB4" w:rsidRPr="00CC3EB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ECDAF4F" w14:textId="2F888AE1" w:rsidR="00584735" w:rsidRPr="00CC3EB4" w:rsidRDefault="00761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C3EB4">
        <w:rPr>
          <w:sz w:val="24"/>
          <w:szCs w:val="24"/>
        </w:rPr>
        <w:t>Study Title:</w:t>
      </w:r>
      <w:r w:rsidR="00D3591D" w:rsidRPr="00CC3EB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97339687"/>
          <w:placeholder>
            <w:docPart w:val="DefaultPlaceholder_-1854013440"/>
          </w:placeholder>
          <w:showingPlcHdr/>
        </w:sdtPr>
        <w:sdtEndPr/>
        <w:sdtContent>
          <w:r w:rsidR="00CC3EB4" w:rsidRPr="00CC3EB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CA85B9C" w14:textId="2C1F0928" w:rsidR="007610F3" w:rsidRPr="00CC3EB4" w:rsidRDefault="00A334B2" w:rsidP="0058473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C3EB4">
        <w:rPr>
          <w:sz w:val="24"/>
          <w:szCs w:val="24"/>
        </w:rPr>
        <w:t>Person</w:t>
      </w:r>
      <w:r w:rsidR="006D3996" w:rsidRPr="00CC3EB4">
        <w:rPr>
          <w:sz w:val="24"/>
          <w:szCs w:val="24"/>
        </w:rPr>
        <w:t xml:space="preserve"> </w:t>
      </w:r>
      <w:r w:rsidR="007610F3" w:rsidRPr="00CC3EB4">
        <w:rPr>
          <w:sz w:val="24"/>
          <w:szCs w:val="24"/>
        </w:rPr>
        <w:t>completing this form:</w:t>
      </w:r>
      <w:r w:rsidR="00D3591D" w:rsidRPr="00CC3EB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19969997"/>
          <w:placeholder>
            <w:docPart w:val="DefaultPlaceholder_-1854013440"/>
          </w:placeholder>
          <w:showingPlcHdr/>
        </w:sdtPr>
        <w:sdtEndPr/>
        <w:sdtContent>
          <w:r w:rsidR="00CC3EB4" w:rsidRPr="00CC3EB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4627E19" w14:textId="4BE905A3" w:rsidR="00CC219B" w:rsidRPr="00CC3EB4" w:rsidRDefault="00CC219B" w:rsidP="00E36418">
      <w:pPr>
        <w:spacing w:after="0" w:line="240" w:lineRule="auto"/>
        <w:rPr>
          <w:sz w:val="24"/>
          <w:szCs w:val="24"/>
        </w:rPr>
      </w:pPr>
    </w:p>
    <w:p w14:paraId="38218607" w14:textId="47754239" w:rsidR="004F599A" w:rsidRPr="00CC3EB4" w:rsidRDefault="00570366" w:rsidP="00584735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CC3EB4">
        <w:rPr>
          <w:b/>
          <w:color w:val="000000"/>
          <w:sz w:val="24"/>
          <w:szCs w:val="24"/>
          <w:shd w:val="clear" w:color="auto" w:fill="FFFFFF"/>
        </w:rPr>
        <w:t>Q1</w:t>
      </w:r>
      <w:r w:rsidR="00446E8A" w:rsidRPr="00CC3EB4">
        <w:rPr>
          <w:b/>
          <w:color w:val="000000"/>
          <w:sz w:val="24"/>
          <w:szCs w:val="24"/>
          <w:shd w:val="clear" w:color="auto" w:fill="FFFFFF"/>
        </w:rPr>
        <w:t xml:space="preserve">. </w:t>
      </w:r>
      <w:r w:rsidR="004F599A" w:rsidRPr="00CC3EB4">
        <w:rPr>
          <w:b/>
          <w:color w:val="000000"/>
          <w:sz w:val="24"/>
          <w:szCs w:val="24"/>
          <w:shd w:val="clear" w:color="auto" w:fill="FFFFFF"/>
        </w:rPr>
        <w:t>List the name of the drug or drugs</w:t>
      </w:r>
      <w:r w:rsidR="00A334B2" w:rsidRPr="00CC3EB4">
        <w:rPr>
          <w:b/>
          <w:color w:val="000000"/>
          <w:sz w:val="24"/>
          <w:szCs w:val="24"/>
          <w:shd w:val="clear" w:color="auto" w:fill="FFFFFF"/>
        </w:rPr>
        <w:t xml:space="preserve"> (if more than one, same answers must apply to all drugs)</w:t>
      </w:r>
      <w:r w:rsidR="004F599A" w:rsidRPr="00CC3EB4">
        <w:rPr>
          <w:b/>
          <w:color w:val="000000"/>
          <w:sz w:val="24"/>
          <w:szCs w:val="24"/>
          <w:shd w:val="clear" w:color="auto" w:fill="FFFFFF"/>
        </w:rPr>
        <w:t>:</w:t>
      </w:r>
      <w:r w:rsidR="000C25C9" w:rsidRPr="00CC3EB4">
        <w:rPr>
          <w:rFonts w:cstheme="minorHAnsi"/>
          <w:bCs/>
          <w:sz w:val="24"/>
          <w:szCs w:val="24"/>
        </w:rPr>
        <w:t xml:space="preserve"> </w:t>
      </w:r>
      <w:sdt>
        <w:sdtPr>
          <w:rPr>
            <w:rFonts w:cstheme="minorHAnsi"/>
            <w:bCs/>
            <w:sz w:val="24"/>
            <w:szCs w:val="24"/>
          </w:rPr>
          <w:id w:val="1312750282"/>
          <w:placeholder>
            <w:docPart w:val="DefaultPlaceholder_-1854013440"/>
          </w:placeholder>
          <w:showingPlcHdr/>
        </w:sdtPr>
        <w:sdtEndPr/>
        <w:sdtContent>
          <w:r w:rsidR="00CC3EB4" w:rsidRPr="00CC3EB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DC62757" w14:textId="77777777" w:rsidR="00A334B2" w:rsidRPr="00CC3EB4" w:rsidRDefault="00A334B2" w:rsidP="00A334B2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</w:p>
    <w:p w14:paraId="5A7AD64F" w14:textId="005AAD5C" w:rsidR="00A334B2" w:rsidRPr="00CC3EB4" w:rsidRDefault="00A334B2" w:rsidP="00A334B2">
      <w:pPr>
        <w:spacing w:after="0" w:line="240" w:lineRule="auto"/>
        <w:rPr>
          <w:b/>
          <w:bCs/>
          <w:color w:val="000000"/>
          <w:sz w:val="24"/>
          <w:szCs w:val="24"/>
          <w:shd w:val="clear" w:color="auto" w:fill="FFFFFF"/>
        </w:rPr>
      </w:pPr>
      <w:r w:rsidRPr="00CC3EB4">
        <w:rPr>
          <w:rStyle w:val="Strong"/>
          <w:color w:val="000000"/>
          <w:sz w:val="24"/>
          <w:szCs w:val="24"/>
          <w:shd w:val="clear" w:color="auto" w:fill="FFFFFF"/>
        </w:rPr>
        <w:t xml:space="preserve">Q2.  </w:t>
      </w:r>
      <w:r w:rsidRPr="00CC3EB4">
        <w:rPr>
          <w:b/>
          <w:bCs/>
          <w:color w:val="000000"/>
          <w:sz w:val="24"/>
          <w:szCs w:val="24"/>
          <w:shd w:val="clear" w:color="auto" w:fill="FFFFFF"/>
        </w:rPr>
        <w:t xml:space="preserve">Is the drug FDA-approved for any indication? </w:t>
      </w:r>
    </w:p>
    <w:p w14:paraId="357C8864" w14:textId="2CB4F827" w:rsidR="00A334B2" w:rsidRPr="00CC3EB4" w:rsidRDefault="00A334B2" w:rsidP="00A334B2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CC3EB4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02778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3EB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C3EB4">
        <w:rPr>
          <w:sz w:val="24"/>
          <w:szCs w:val="24"/>
        </w:rPr>
        <w:t xml:space="preserve">  Yes </w:t>
      </w:r>
      <w:sdt>
        <w:sdtPr>
          <w:rPr>
            <w:sz w:val="24"/>
            <w:szCs w:val="24"/>
          </w:rPr>
          <w:id w:val="198172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3E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C3EB4"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74E52D81" w14:textId="77777777" w:rsidR="00A334B2" w:rsidRPr="00CC3EB4" w:rsidRDefault="00A334B2" w:rsidP="00A334B2">
      <w:pPr>
        <w:spacing w:after="0" w:line="240" w:lineRule="auto"/>
        <w:rPr>
          <w:sz w:val="24"/>
          <w:szCs w:val="24"/>
        </w:rPr>
      </w:pPr>
    </w:p>
    <w:p w14:paraId="080E839B" w14:textId="77777777" w:rsidR="00CC3EB4" w:rsidRPr="00CC3EB4" w:rsidRDefault="00A334B2" w:rsidP="00584735">
      <w:pPr>
        <w:spacing w:after="0" w:line="240" w:lineRule="auto"/>
        <w:contextualSpacing/>
        <w:rPr>
          <w:sz w:val="24"/>
          <w:szCs w:val="24"/>
        </w:rPr>
      </w:pPr>
      <w:r w:rsidRPr="00CC3EB4">
        <w:rPr>
          <w:b/>
          <w:sz w:val="24"/>
          <w:szCs w:val="24"/>
        </w:rPr>
        <w:t>If yes, proceed to Q3-A.</w:t>
      </w:r>
      <w:r w:rsidRPr="00CC3EB4">
        <w:rPr>
          <w:sz w:val="24"/>
          <w:szCs w:val="24"/>
        </w:rPr>
        <w:t xml:space="preserve"> </w:t>
      </w:r>
    </w:p>
    <w:p w14:paraId="1C6869C8" w14:textId="787A54A7" w:rsidR="002C5E0B" w:rsidRPr="00CC3EB4" w:rsidRDefault="00A334B2" w:rsidP="00584735">
      <w:pPr>
        <w:spacing w:after="0" w:line="240" w:lineRule="auto"/>
        <w:contextualSpacing/>
        <w:rPr>
          <w:b/>
          <w:color w:val="000000"/>
          <w:sz w:val="24"/>
          <w:szCs w:val="24"/>
          <w:shd w:val="clear" w:color="auto" w:fill="FFFFFF"/>
        </w:rPr>
      </w:pPr>
      <w:r w:rsidRPr="00CC3EB4">
        <w:rPr>
          <w:sz w:val="24"/>
          <w:szCs w:val="24"/>
        </w:rPr>
        <w:t xml:space="preserve">If No, </w:t>
      </w:r>
      <w:r w:rsidRPr="00CC3EB4">
        <w:rPr>
          <w:rFonts w:cs="Arial"/>
          <w:color w:val="000000"/>
          <w:sz w:val="24"/>
          <w:szCs w:val="24"/>
          <w:shd w:val="clear" w:color="auto" w:fill="FFFFFF"/>
        </w:rPr>
        <w:t>indicate if the following criteria apply, to complete this form (do not complete Q3-</w:t>
      </w:r>
      <w:proofErr w:type="gramStart"/>
      <w:r w:rsidRPr="00CC3EB4">
        <w:rPr>
          <w:rFonts w:cs="Arial"/>
          <w:color w:val="000000"/>
          <w:sz w:val="24"/>
          <w:szCs w:val="24"/>
          <w:shd w:val="clear" w:color="auto" w:fill="FFFFFF"/>
        </w:rPr>
        <w:t>A,B</w:t>
      </w:r>
      <w:proofErr w:type="gramEnd"/>
      <w:r w:rsidRPr="00CC3EB4">
        <w:rPr>
          <w:rFonts w:cs="Arial"/>
          <w:color w:val="000000"/>
          <w:sz w:val="24"/>
          <w:szCs w:val="24"/>
          <w:shd w:val="clear" w:color="auto" w:fill="FFFFFF"/>
        </w:rPr>
        <w:t xml:space="preserve">). If </w:t>
      </w:r>
      <w:r w:rsidR="009B569F" w:rsidRPr="00CC3EB4">
        <w:rPr>
          <w:rFonts w:cs="Arial"/>
          <w:color w:val="000000"/>
          <w:sz w:val="24"/>
          <w:szCs w:val="24"/>
          <w:shd w:val="clear" w:color="auto" w:fill="FFFFFF"/>
        </w:rPr>
        <w:t>none of these</w:t>
      </w:r>
      <w:r w:rsidRPr="00CC3EB4">
        <w:rPr>
          <w:rFonts w:cs="Arial"/>
          <w:color w:val="000000"/>
          <w:sz w:val="24"/>
          <w:szCs w:val="24"/>
          <w:shd w:val="clear" w:color="auto" w:fill="FFFFFF"/>
        </w:rPr>
        <w:t xml:space="preserve"> criteria apply,</w:t>
      </w:r>
      <w:r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C3EB4">
        <w:rPr>
          <w:sz w:val="24"/>
          <w:szCs w:val="24"/>
        </w:rPr>
        <w:t>an Investigational New Drug (IND) submission may be required under part 312.</w:t>
      </w:r>
      <w:r w:rsidR="002C5E0B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05C7546D" w14:textId="7728D45E" w:rsidR="002C5E0B" w:rsidRPr="00CC3EB4" w:rsidRDefault="00B96A30" w:rsidP="00767102">
      <w:pPr>
        <w:spacing w:after="80" w:line="240" w:lineRule="auto"/>
        <w:ind w:left="810" w:hanging="720"/>
        <w:rPr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54819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5CA" w:rsidRPr="00CC3EB4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2C5E0B" w:rsidRPr="00CC3EB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9D5E43" w:rsidRPr="00CC3EB4">
        <w:rPr>
          <w:rFonts w:cs="Arial"/>
          <w:color w:val="000000"/>
          <w:sz w:val="24"/>
          <w:szCs w:val="24"/>
          <w:shd w:val="clear" w:color="auto" w:fill="FFFFFF"/>
        </w:rPr>
        <w:t xml:space="preserve">The research is </w:t>
      </w:r>
      <w:r w:rsidR="009D5E43" w:rsidRPr="00CC3EB4">
        <w:rPr>
          <w:sz w:val="24"/>
          <w:szCs w:val="24"/>
        </w:rPr>
        <w:t>a</w:t>
      </w:r>
      <w:r w:rsidR="002C5E0B" w:rsidRPr="00CC3EB4">
        <w:rPr>
          <w:sz w:val="24"/>
          <w:szCs w:val="24"/>
        </w:rPr>
        <w:t xml:space="preserve"> clinical investigation involving blood grouping serum, reagent red blood cells, or anti-human globulin, </w:t>
      </w:r>
      <w:r w:rsidR="00570366" w:rsidRPr="00CC3EB4">
        <w:rPr>
          <w:sz w:val="24"/>
          <w:szCs w:val="24"/>
        </w:rPr>
        <w:t xml:space="preserve">that </w:t>
      </w:r>
      <w:r w:rsidR="00A334B2" w:rsidRPr="00CC3EB4">
        <w:rPr>
          <w:sz w:val="24"/>
          <w:szCs w:val="24"/>
        </w:rPr>
        <w:t>(</w:t>
      </w:r>
      <w:r w:rsidR="002C5E0B" w:rsidRPr="00CC3EB4">
        <w:rPr>
          <w:sz w:val="24"/>
          <w:szCs w:val="24"/>
        </w:rPr>
        <w:t xml:space="preserve">a) it is intended to be used in a diagnostic procedure that confirms the diagnosis made by another, medically established, diagnostic product or procedure and, </w:t>
      </w:r>
      <w:r w:rsidR="00A334B2" w:rsidRPr="00CC3EB4">
        <w:rPr>
          <w:sz w:val="24"/>
          <w:szCs w:val="24"/>
        </w:rPr>
        <w:t>(</w:t>
      </w:r>
      <w:r w:rsidR="002C5E0B" w:rsidRPr="00CC3EB4">
        <w:rPr>
          <w:sz w:val="24"/>
          <w:szCs w:val="24"/>
        </w:rPr>
        <w:t xml:space="preserve">b) it is shipped in compliance with 21 CFR 312.160.  </w:t>
      </w:r>
    </w:p>
    <w:p w14:paraId="4AFE9F35" w14:textId="513467C2" w:rsidR="002C5E0B" w:rsidRPr="00CC3EB4" w:rsidRDefault="00B96A30" w:rsidP="00767102">
      <w:pPr>
        <w:spacing w:after="80" w:line="240" w:lineRule="auto"/>
        <w:ind w:left="810" w:hanging="720"/>
        <w:rPr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35184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1D" w:rsidRPr="00CC3EB4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2C5E0B" w:rsidRPr="00CC3EB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9D5E43" w:rsidRPr="00CC3EB4">
        <w:rPr>
          <w:rFonts w:cs="Arial"/>
          <w:color w:val="000000"/>
          <w:sz w:val="24"/>
          <w:szCs w:val="24"/>
          <w:shd w:val="clear" w:color="auto" w:fill="FFFFFF"/>
        </w:rPr>
        <w:t xml:space="preserve">The </w:t>
      </w:r>
      <w:r w:rsidR="002C5E0B" w:rsidRPr="00CC3EB4">
        <w:rPr>
          <w:sz w:val="24"/>
          <w:szCs w:val="24"/>
        </w:rPr>
        <w:t>drug</w:t>
      </w:r>
      <w:r w:rsidR="009D5E43" w:rsidRPr="00CC3EB4">
        <w:rPr>
          <w:sz w:val="24"/>
          <w:szCs w:val="24"/>
        </w:rPr>
        <w:t xml:space="preserve"> is</w:t>
      </w:r>
      <w:r w:rsidR="002C5E0B" w:rsidRPr="00CC3EB4">
        <w:rPr>
          <w:sz w:val="24"/>
          <w:szCs w:val="24"/>
        </w:rPr>
        <w:t xml:space="preserve"> intended solely for tests in vitro or in laboratory research animals </w:t>
      </w:r>
      <w:r w:rsidR="00570366" w:rsidRPr="00CC3EB4">
        <w:rPr>
          <w:sz w:val="24"/>
          <w:szCs w:val="24"/>
        </w:rPr>
        <w:t>that</w:t>
      </w:r>
      <w:r w:rsidR="002C5E0B" w:rsidRPr="00CC3EB4">
        <w:rPr>
          <w:sz w:val="24"/>
          <w:szCs w:val="24"/>
        </w:rPr>
        <w:t xml:space="preserve"> is shipped in accordance with 21 CFR 312.160.  </w:t>
      </w:r>
    </w:p>
    <w:p w14:paraId="252E8447" w14:textId="0B5694B8" w:rsidR="002C5E0B" w:rsidRPr="00CC3EB4" w:rsidRDefault="00B96A30" w:rsidP="00767102">
      <w:pPr>
        <w:spacing w:after="80" w:line="240" w:lineRule="auto"/>
        <w:ind w:left="810" w:hanging="720"/>
        <w:rPr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163645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DB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2C5E0B" w:rsidRPr="00CC3EB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B65D6A" w:rsidRPr="00CC3EB4">
        <w:rPr>
          <w:rFonts w:cs="Arial"/>
          <w:color w:val="000000"/>
          <w:sz w:val="24"/>
          <w:szCs w:val="24"/>
          <w:shd w:val="clear" w:color="auto" w:fill="FFFFFF"/>
        </w:rPr>
        <w:t xml:space="preserve">For substance used as placebo: </w:t>
      </w:r>
      <w:r w:rsidR="009D5E43" w:rsidRPr="00CC3EB4">
        <w:rPr>
          <w:rFonts w:cs="Arial"/>
          <w:color w:val="000000"/>
          <w:sz w:val="24"/>
          <w:szCs w:val="24"/>
          <w:shd w:val="clear" w:color="auto" w:fill="FFFFFF"/>
        </w:rPr>
        <w:t xml:space="preserve">The research is </w:t>
      </w:r>
      <w:r w:rsidR="009D5E43" w:rsidRPr="00CC3EB4">
        <w:rPr>
          <w:sz w:val="24"/>
          <w:szCs w:val="24"/>
        </w:rPr>
        <w:t>a</w:t>
      </w:r>
      <w:r w:rsidR="002C5E0B" w:rsidRPr="00CC3EB4">
        <w:rPr>
          <w:sz w:val="24"/>
          <w:szCs w:val="24"/>
        </w:rPr>
        <w:t xml:space="preserve"> clinical investigation involving use of a placebo </w:t>
      </w:r>
      <w:r w:rsidR="00570366" w:rsidRPr="00CC3EB4">
        <w:rPr>
          <w:sz w:val="24"/>
          <w:szCs w:val="24"/>
        </w:rPr>
        <w:t>that does</w:t>
      </w:r>
      <w:r w:rsidR="002C5E0B" w:rsidRPr="00CC3EB4">
        <w:rPr>
          <w:sz w:val="24"/>
          <w:szCs w:val="24"/>
        </w:rPr>
        <w:t xml:space="preserve"> not otherwise require submission of an IND.</w:t>
      </w:r>
    </w:p>
    <w:p w14:paraId="4447F7E5" w14:textId="77777777" w:rsidR="00040D01" w:rsidRPr="00CC3EB4" w:rsidRDefault="00040D01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118C6119" w14:textId="729A6993" w:rsidR="00324871" w:rsidRPr="00CC3EB4" w:rsidRDefault="002C5E0B" w:rsidP="00767102">
      <w:pPr>
        <w:spacing w:after="0" w:line="240" w:lineRule="auto"/>
        <w:contextualSpacing/>
        <w:rPr>
          <w:color w:val="000000"/>
          <w:sz w:val="24"/>
          <w:szCs w:val="24"/>
          <w:shd w:val="clear" w:color="auto" w:fill="FFFFFF"/>
        </w:rPr>
      </w:pPr>
      <w:r w:rsidRPr="00CC3EB4">
        <w:rPr>
          <w:b/>
          <w:color w:val="000000"/>
          <w:sz w:val="24"/>
          <w:szCs w:val="24"/>
          <w:shd w:val="clear" w:color="auto" w:fill="FFFFFF"/>
        </w:rPr>
        <w:lastRenderedPageBreak/>
        <w:t>Q</w:t>
      </w:r>
      <w:r w:rsidR="004F599A" w:rsidRPr="00CC3EB4">
        <w:rPr>
          <w:b/>
          <w:color w:val="000000"/>
          <w:sz w:val="24"/>
          <w:szCs w:val="24"/>
          <w:shd w:val="clear" w:color="auto" w:fill="FFFFFF"/>
        </w:rPr>
        <w:t>3</w:t>
      </w:r>
      <w:r w:rsidR="00A334B2" w:rsidRPr="00CC3EB4">
        <w:rPr>
          <w:b/>
          <w:color w:val="000000"/>
          <w:sz w:val="24"/>
          <w:szCs w:val="24"/>
          <w:shd w:val="clear" w:color="auto" w:fill="FFFFFF"/>
        </w:rPr>
        <w:t>-A</w:t>
      </w:r>
      <w:r w:rsidRPr="00CC3EB4">
        <w:rPr>
          <w:b/>
          <w:color w:val="000000"/>
          <w:sz w:val="24"/>
          <w:szCs w:val="24"/>
          <w:shd w:val="clear" w:color="auto" w:fill="FFFFFF"/>
        </w:rPr>
        <w:t xml:space="preserve">. </w:t>
      </w:r>
      <w:r w:rsidR="00040D01" w:rsidRPr="00CC3EB4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7610F3" w:rsidRPr="00CC3EB4">
        <w:rPr>
          <w:b/>
          <w:color w:val="000000"/>
          <w:sz w:val="24"/>
          <w:szCs w:val="24"/>
          <w:shd w:val="clear" w:color="auto" w:fill="FFFFFF"/>
        </w:rPr>
        <w:t xml:space="preserve">Does </w:t>
      </w:r>
      <w:r w:rsidR="00570366" w:rsidRPr="00CC3EB4">
        <w:rPr>
          <w:b/>
          <w:color w:val="000000"/>
          <w:sz w:val="24"/>
          <w:szCs w:val="24"/>
          <w:shd w:val="clear" w:color="auto" w:fill="FFFFFF"/>
        </w:rPr>
        <w:t xml:space="preserve">the investigational </w:t>
      </w:r>
      <w:r w:rsidR="007264CE" w:rsidRPr="00CC3EB4">
        <w:rPr>
          <w:b/>
          <w:color w:val="000000"/>
          <w:sz w:val="24"/>
          <w:szCs w:val="24"/>
          <w:shd w:val="clear" w:color="auto" w:fill="FFFFFF"/>
        </w:rPr>
        <w:t xml:space="preserve">use </w:t>
      </w:r>
      <w:r w:rsidR="007610F3" w:rsidRPr="00CC3EB4">
        <w:rPr>
          <w:b/>
          <w:color w:val="000000"/>
          <w:sz w:val="24"/>
          <w:szCs w:val="24"/>
          <w:shd w:val="clear" w:color="auto" w:fill="FFFFFF"/>
        </w:rPr>
        <w:t xml:space="preserve">involve a route of administration or dosage level, </w:t>
      </w:r>
      <w:r w:rsidR="007264CE" w:rsidRPr="00CC3EB4">
        <w:rPr>
          <w:b/>
          <w:color w:val="000000"/>
          <w:sz w:val="24"/>
          <w:szCs w:val="24"/>
          <w:shd w:val="clear" w:color="auto" w:fill="FFFFFF"/>
        </w:rPr>
        <w:t xml:space="preserve">or </w:t>
      </w:r>
      <w:r w:rsidR="007610F3" w:rsidRPr="00CC3EB4">
        <w:rPr>
          <w:b/>
          <w:color w:val="000000"/>
          <w:sz w:val="24"/>
          <w:szCs w:val="24"/>
          <w:shd w:val="clear" w:color="auto" w:fill="FFFFFF"/>
        </w:rPr>
        <w:t xml:space="preserve">use in a subject population, or other factor that </w:t>
      </w:r>
      <w:r w:rsidR="007610F3" w:rsidRPr="00CC3EB4">
        <w:rPr>
          <w:b/>
          <w:i/>
          <w:color w:val="000000"/>
          <w:sz w:val="24"/>
          <w:szCs w:val="24"/>
          <w:shd w:val="clear" w:color="auto" w:fill="FFFFFF"/>
        </w:rPr>
        <w:t>significantly increase</w:t>
      </w:r>
      <w:r w:rsidR="00A334B2" w:rsidRPr="00CC3EB4">
        <w:rPr>
          <w:b/>
          <w:i/>
          <w:color w:val="000000"/>
          <w:sz w:val="24"/>
          <w:szCs w:val="24"/>
          <w:shd w:val="clear" w:color="auto" w:fill="FFFFFF"/>
        </w:rPr>
        <w:t>s</w:t>
      </w:r>
      <w:r w:rsidR="007610F3" w:rsidRPr="00CC3EB4">
        <w:rPr>
          <w:b/>
          <w:i/>
          <w:color w:val="000000"/>
          <w:sz w:val="24"/>
          <w:szCs w:val="24"/>
          <w:shd w:val="clear" w:color="auto" w:fill="FFFFFF"/>
        </w:rPr>
        <w:t xml:space="preserve"> the risks (</w:t>
      </w:r>
      <w:r w:rsidR="007610F3" w:rsidRPr="00CC3EB4">
        <w:rPr>
          <w:b/>
          <w:color w:val="000000"/>
          <w:sz w:val="24"/>
          <w:szCs w:val="24"/>
          <w:shd w:val="clear" w:color="auto" w:fill="FFFFFF"/>
        </w:rPr>
        <w:t>or</w:t>
      </w:r>
      <w:r w:rsidR="007610F3" w:rsidRPr="00CC3EB4">
        <w:rPr>
          <w:b/>
          <w:i/>
          <w:color w:val="000000"/>
          <w:sz w:val="24"/>
          <w:szCs w:val="24"/>
          <w:shd w:val="clear" w:color="auto" w:fill="FFFFFF"/>
        </w:rPr>
        <w:t xml:space="preserve"> decreases the acceptability of the risks</w:t>
      </w:r>
      <w:r w:rsidR="007610F3" w:rsidRPr="00CC3EB4">
        <w:rPr>
          <w:b/>
          <w:color w:val="000000"/>
          <w:sz w:val="24"/>
          <w:szCs w:val="24"/>
          <w:shd w:val="clear" w:color="auto" w:fill="FFFFFF"/>
        </w:rPr>
        <w:t>) associated with the use of the drug product</w:t>
      </w:r>
      <w:r w:rsidR="007610F3" w:rsidRPr="00CC3EB4">
        <w:rPr>
          <w:color w:val="000000"/>
          <w:sz w:val="24"/>
          <w:szCs w:val="24"/>
          <w:shd w:val="clear" w:color="auto" w:fill="FFFFFF"/>
        </w:rPr>
        <w:t>?</w:t>
      </w:r>
      <w:r w:rsidR="00446E8A" w:rsidRPr="00CC3EB4"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5175B1A8" w14:textId="1C6E8142" w:rsidR="007610F3" w:rsidRPr="00CC3EB4" w:rsidRDefault="00446E8A" w:rsidP="000C25C9">
      <w:pPr>
        <w:tabs>
          <w:tab w:val="left" w:pos="3701"/>
        </w:tabs>
        <w:spacing w:before="120" w:after="120" w:line="240" w:lineRule="auto"/>
        <w:rPr>
          <w:color w:val="000000"/>
          <w:sz w:val="24"/>
          <w:szCs w:val="24"/>
          <w:shd w:val="clear" w:color="auto" w:fill="FFFFFF"/>
        </w:rPr>
      </w:pPr>
      <w:r w:rsidRPr="00CC3EB4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62627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C3EB4">
        <w:rPr>
          <w:sz w:val="24"/>
          <w:szCs w:val="24"/>
        </w:rPr>
        <w:t xml:space="preserve">  Yes </w:t>
      </w:r>
      <w:sdt>
        <w:sdtPr>
          <w:rPr>
            <w:sz w:val="24"/>
            <w:szCs w:val="24"/>
          </w:rPr>
          <w:id w:val="-208636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417" w:rsidRPr="00CC3E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5D91" w:rsidRPr="00CC3EB4">
        <w:rPr>
          <w:sz w:val="24"/>
          <w:szCs w:val="24"/>
        </w:rPr>
        <w:t xml:space="preserve"> </w:t>
      </w:r>
      <w:r w:rsidR="002D6821" w:rsidRPr="00CC3EB4">
        <w:rPr>
          <w:sz w:val="24"/>
          <w:szCs w:val="24"/>
        </w:rPr>
        <w:t xml:space="preserve">(If yes, an Investigational New Drug [IND] submission is required under part 312).  </w:t>
      </w:r>
    </w:p>
    <w:p w14:paraId="6ACC6E2D" w14:textId="26DC1B49" w:rsidR="004F599A" w:rsidRPr="00CC3EB4" w:rsidRDefault="00E61CD2" w:rsidP="00CC3EB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40" w:lineRule="auto"/>
        <w:rPr>
          <w:color w:val="000000"/>
          <w:sz w:val="24"/>
          <w:szCs w:val="24"/>
          <w:shd w:val="clear" w:color="auto" w:fill="FFFFFF"/>
        </w:rPr>
      </w:pPr>
      <w:r w:rsidRPr="00CC3EB4">
        <w:rPr>
          <w:b/>
          <w:sz w:val="24"/>
          <w:szCs w:val="24"/>
        </w:rPr>
        <w:t>If No, p</w:t>
      </w:r>
      <w:r w:rsidR="00324871" w:rsidRPr="00CC3EB4">
        <w:rPr>
          <w:b/>
          <w:sz w:val="24"/>
          <w:szCs w:val="24"/>
        </w:rPr>
        <w:t>rovide justification</w:t>
      </w:r>
      <w:r w:rsidRPr="00CC3EB4">
        <w:rPr>
          <w:sz w:val="24"/>
          <w:szCs w:val="24"/>
        </w:rPr>
        <w:t xml:space="preserve"> </w:t>
      </w:r>
      <w:r w:rsidR="0033538A" w:rsidRPr="00CC3EB4">
        <w:rPr>
          <w:sz w:val="24"/>
          <w:szCs w:val="24"/>
        </w:rPr>
        <w:t xml:space="preserve">that addresses risk to the intended population </w:t>
      </w:r>
      <w:r w:rsidR="006D3996" w:rsidRPr="00CC3EB4">
        <w:rPr>
          <w:sz w:val="24"/>
          <w:szCs w:val="24"/>
        </w:rPr>
        <w:t xml:space="preserve">(e.g. </w:t>
      </w:r>
      <w:r w:rsidR="0033538A" w:rsidRPr="00CC3EB4">
        <w:rPr>
          <w:sz w:val="24"/>
          <w:szCs w:val="24"/>
        </w:rPr>
        <w:t xml:space="preserve">is there information in the prescribing guidance that would contraindicate use in the proposed population? Citations from </w:t>
      </w:r>
      <w:r w:rsidRPr="00CC3EB4">
        <w:rPr>
          <w:sz w:val="24"/>
          <w:szCs w:val="24"/>
        </w:rPr>
        <w:t>literature, clinical experience</w:t>
      </w:r>
      <w:r w:rsidR="0033538A" w:rsidRPr="00CC3EB4">
        <w:rPr>
          <w:sz w:val="24"/>
          <w:szCs w:val="24"/>
        </w:rPr>
        <w:t>?</w:t>
      </w:r>
      <w:r w:rsidR="002369A1" w:rsidRPr="00CC3EB4">
        <w:rPr>
          <w:sz w:val="24"/>
          <w:szCs w:val="24"/>
        </w:rPr>
        <w:t xml:space="preserve"> </w:t>
      </w:r>
      <w:r w:rsidR="0033538A" w:rsidRPr="00CC3EB4">
        <w:rPr>
          <w:sz w:val="24"/>
          <w:szCs w:val="24"/>
        </w:rPr>
        <w:t>Or, s</w:t>
      </w:r>
      <w:r w:rsidR="002369A1" w:rsidRPr="00CC3EB4">
        <w:rPr>
          <w:sz w:val="24"/>
          <w:szCs w:val="24"/>
        </w:rPr>
        <w:t>tatement that use of drug(s) falls under FDA guidance for Cancer drugs at</w:t>
      </w:r>
      <w:r w:rsidR="00A65DE7">
        <w:rPr>
          <w:sz w:val="24"/>
          <w:szCs w:val="24"/>
        </w:rPr>
        <w:t xml:space="preserve"> </w:t>
      </w:r>
      <w:hyperlink r:id="rId10" w:history="1">
        <w:r w:rsidR="00A65DE7" w:rsidRPr="0024579A">
          <w:rPr>
            <w:rStyle w:val="Hyperlink"/>
            <w:sz w:val="24"/>
            <w:szCs w:val="24"/>
          </w:rPr>
          <w:t>https://www.fda.gov/media/71627/download</w:t>
        </w:r>
      </w:hyperlink>
      <w:r w:rsidR="006D3996" w:rsidRPr="00CC3EB4">
        <w:rPr>
          <w:sz w:val="24"/>
          <w:szCs w:val="24"/>
        </w:rPr>
        <w:t>)</w:t>
      </w:r>
      <w:r w:rsidR="00324871" w:rsidRPr="00CC3EB4">
        <w:rPr>
          <w:sz w:val="24"/>
          <w:szCs w:val="24"/>
        </w:rPr>
        <w:t>:</w:t>
      </w:r>
      <w:r w:rsidR="000C25C9" w:rsidRPr="00CC3EB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6572301"/>
          <w:placeholder>
            <w:docPart w:val="DefaultPlaceholder_-1854013440"/>
          </w:placeholder>
          <w:showingPlcHdr/>
        </w:sdtPr>
        <w:sdtEndPr/>
        <w:sdtContent>
          <w:r w:rsidR="00CC3EB4" w:rsidRPr="00CC3EB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90EF7B2" w14:textId="18B1A883" w:rsidR="00576F7C" w:rsidRPr="00CC3EB4" w:rsidRDefault="00CC219B" w:rsidP="00835A84">
      <w:pPr>
        <w:spacing w:after="0" w:line="240" w:lineRule="auto"/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>Q</w:t>
      </w:r>
      <w:r w:rsidR="004F599A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>3</w:t>
      </w:r>
      <w:r w:rsidR="00A334B2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>-B</w:t>
      </w:r>
      <w:r w:rsidR="00040D01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2C5E0B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Indicate </w:t>
      </w:r>
      <w:r w:rsidR="00A334B2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>if</w:t>
      </w:r>
      <w:r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the following </w:t>
      </w:r>
      <w:r w:rsidR="00767102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criteria </w:t>
      </w:r>
      <w:r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also </w:t>
      </w:r>
      <w:r w:rsidR="00767102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>apply</w:t>
      </w:r>
      <w:r w:rsidR="00A334B2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(if any do not apply, use of drug is </w:t>
      </w:r>
      <w:r w:rsidR="00A334B2" w:rsidRPr="00CC3EB4">
        <w:rPr>
          <w:rFonts w:cs="Arial"/>
          <w:b/>
          <w:color w:val="000000"/>
          <w:sz w:val="24"/>
          <w:szCs w:val="24"/>
          <w:u w:val="single"/>
          <w:shd w:val="clear" w:color="auto" w:fill="FFFFFF"/>
        </w:rPr>
        <w:t>not</w:t>
      </w:r>
      <w:r w:rsidR="00A334B2"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exempt from IND)</w:t>
      </w:r>
      <w:r w:rsidRPr="00CC3EB4">
        <w:rPr>
          <w:rFonts w:cs="Arial"/>
          <w:b/>
          <w:color w:val="000000"/>
          <w:sz w:val="24"/>
          <w:szCs w:val="24"/>
          <w:shd w:val="clear" w:color="auto" w:fill="FFFFFF"/>
        </w:rPr>
        <w:t>:</w:t>
      </w:r>
    </w:p>
    <w:p w14:paraId="4E4152D0" w14:textId="50B72789" w:rsidR="00CC219B" w:rsidRPr="00CC3EB4" w:rsidRDefault="00B96A30" w:rsidP="00013023">
      <w:pPr>
        <w:spacing w:after="80" w:line="240" w:lineRule="auto"/>
        <w:ind w:left="720" w:hanging="720"/>
        <w:rPr>
          <w:rFonts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-18955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DB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CC219B" w:rsidRPr="00CC3EB4">
        <w:rPr>
          <w:rFonts w:cs="Arial"/>
          <w:color w:val="000000"/>
          <w:sz w:val="24"/>
          <w:szCs w:val="24"/>
          <w:shd w:val="clear" w:color="auto" w:fill="FFFFFF"/>
        </w:rPr>
        <w:tab/>
        <w:t>The investigation is not intended to be reported to FDA as a well-controlled study in support of a new indication for use nor intended to be used to support any other significant change in the labeling for the drug</w:t>
      </w:r>
      <w:r w:rsidR="003E3AEA" w:rsidRPr="00CC3EB4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14:paraId="3B12C5A9" w14:textId="68B97825" w:rsidR="00CC219B" w:rsidRPr="00CC3EB4" w:rsidRDefault="00B96A30" w:rsidP="00013023">
      <w:pPr>
        <w:spacing w:after="80" w:line="240" w:lineRule="auto"/>
        <w:ind w:left="720" w:hanging="720"/>
        <w:rPr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201686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DB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CC219B" w:rsidRPr="00CC3EB4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CC219B" w:rsidRPr="00CC3EB4">
        <w:rPr>
          <w:sz w:val="24"/>
          <w:szCs w:val="24"/>
        </w:rPr>
        <w:t>If the drug that is undergoing investigation is lawfully marketed as a prescription drug product, the investigation is not intended to support a significant change in the advertising for the product</w:t>
      </w:r>
      <w:r w:rsidR="003E3AEA" w:rsidRPr="00CC3EB4">
        <w:rPr>
          <w:sz w:val="24"/>
          <w:szCs w:val="24"/>
        </w:rPr>
        <w:t>.</w:t>
      </w:r>
    </w:p>
    <w:p w14:paraId="60DCC58E" w14:textId="00A94B2E" w:rsidR="00013023" w:rsidRPr="00CC3EB4" w:rsidRDefault="00B96A30" w:rsidP="00E36418">
      <w:pPr>
        <w:spacing w:after="80" w:line="240" w:lineRule="auto"/>
        <w:ind w:left="720" w:hanging="720"/>
        <w:rPr>
          <w:rFonts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146824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DB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013023" w:rsidRPr="00CC3EB4">
        <w:rPr>
          <w:rFonts w:cs="Arial"/>
          <w:color w:val="000000"/>
          <w:sz w:val="24"/>
          <w:szCs w:val="24"/>
          <w:shd w:val="clear" w:color="auto" w:fill="FFFFFF"/>
        </w:rPr>
        <w:tab/>
        <w:t>The investigation is conducted in compliance with the requirements concerning the promotion and sale of drugs</w:t>
      </w:r>
      <w:r w:rsidR="003E3AEA" w:rsidRPr="00CC3EB4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14:paraId="5A35C4E7" w14:textId="2BB9100B" w:rsidR="00CC219B" w:rsidRPr="00CC3EB4" w:rsidRDefault="00B96A30" w:rsidP="00013023">
      <w:pPr>
        <w:spacing w:after="80" w:line="240" w:lineRule="auto"/>
        <w:ind w:left="720" w:hanging="720"/>
        <w:rPr>
          <w:rFonts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198503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DB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CC219B" w:rsidRPr="00CC3EB4">
        <w:rPr>
          <w:rFonts w:cs="Arial"/>
          <w:color w:val="000000"/>
          <w:sz w:val="24"/>
          <w:szCs w:val="24"/>
          <w:shd w:val="clear" w:color="auto" w:fill="FFFFFF"/>
        </w:rPr>
        <w:tab/>
        <w:t xml:space="preserve">The investigation is conducted in compliance with the requirements for </w:t>
      </w:r>
      <w:r w:rsidR="00E71958" w:rsidRPr="00CC3EB4">
        <w:rPr>
          <w:rFonts w:cs="Arial"/>
          <w:color w:val="000000"/>
          <w:sz w:val="24"/>
          <w:szCs w:val="24"/>
          <w:shd w:val="clear" w:color="auto" w:fill="FFFFFF"/>
        </w:rPr>
        <w:t>IRB review and informed consent</w:t>
      </w:r>
      <w:r w:rsidR="003E3AEA" w:rsidRPr="00CC3EB4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14:paraId="585542E8" w14:textId="173504E7" w:rsidR="00E71958" w:rsidRPr="00CC3EB4" w:rsidRDefault="00B96A30" w:rsidP="00CC3EB4">
      <w:pPr>
        <w:spacing w:after="80" w:line="240" w:lineRule="auto"/>
        <w:ind w:left="720" w:hanging="720"/>
        <w:rPr>
          <w:sz w:val="24"/>
          <w:szCs w:val="24"/>
        </w:rPr>
      </w:pPr>
      <w:sdt>
        <w:sdtPr>
          <w:rPr>
            <w:rFonts w:cs="Arial"/>
            <w:color w:val="000000"/>
            <w:sz w:val="24"/>
            <w:szCs w:val="24"/>
            <w:shd w:val="clear" w:color="auto" w:fill="FFFFFF"/>
          </w:rPr>
          <w:id w:val="-29421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DB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71958" w:rsidRPr="00CC3EB4">
        <w:rPr>
          <w:rFonts w:cs="Arial"/>
          <w:color w:val="000000"/>
          <w:sz w:val="24"/>
          <w:szCs w:val="24"/>
          <w:shd w:val="clear" w:color="auto" w:fill="FFFFFF"/>
        </w:rPr>
        <w:tab/>
        <w:t xml:space="preserve">The investigation </w:t>
      </w:r>
      <w:r w:rsidR="00013023" w:rsidRPr="00CC3EB4">
        <w:rPr>
          <w:rFonts w:cs="Arial"/>
          <w:color w:val="000000"/>
          <w:sz w:val="24"/>
          <w:szCs w:val="24"/>
          <w:shd w:val="clear" w:color="auto" w:fill="FFFFFF"/>
        </w:rPr>
        <w:t>does no</w:t>
      </w:r>
      <w:r w:rsidR="00A65224" w:rsidRPr="00CC3EB4">
        <w:rPr>
          <w:rFonts w:cs="Arial"/>
          <w:color w:val="000000"/>
          <w:sz w:val="24"/>
          <w:szCs w:val="24"/>
          <w:shd w:val="clear" w:color="auto" w:fill="FFFFFF"/>
        </w:rPr>
        <w:t>t intend to invoke 21 CFR 50.24,</w:t>
      </w:r>
      <w:r w:rsidR="00013023" w:rsidRPr="00CC3EB4">
        <w:rPr>
          <w:rFonts w:cs="Arial"/>
          <w:color w:val="000000"/>
          <w:sz w:val="24"/>
          <w:szCs w:val="24"/>
          <w:shd w:val="clear" w:color="auto" w:fill="FFFFFF"/>
        </w:rPr>
        <w:t xml:space="preserve"> a waiver of informed consent in an emergency room setting</w:t>
      </w:r>
      <w:r w:rsidR="003E3AEA" w:rsidRPr="00CC3EB4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sectPr w:rsidR="00E71958" w:rsidRPr="00CC3EB4" w:rsidSect="0058473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8DF45" w14:textId="77777777" w:rsidR="00B96A30" w:rsidRDefault="00B96A30" w:rsidP="002D6821">
      <w:pPr>
        <w:spacing w:after="0" w:line="240" w:lineRule="auto"/>
      </w:pPr>
      <w:r>
        <w:separator/>
      </w:r>
    </w:p>
  </w:endnote>
  <w:endnote w:type="continuationSeparator" w:id="0">
    <w:p w14:paraId="29E05D37" w14:textId="77777777" w:rsidR="00B96A30" w:rsidRDefault="00B96A30" w:rsidP="002D6821">
      <w:pPr>
        <w:spacing w:after="0" w:line="240" w:lineRule="auto"/>
      </w:pPr>
      <w:r>
        <w:continuationSeparator/>
      </w:r>
    </w:p>
  </w:endnote>
  <w:endnote w:type="continuationNotice" w:id="1">
    <w:p w14:paraId="777CDEB9" w14:textId="77777777" w:rsidR="00B96A30" w:rsidRDefault="00B96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80641" w14:textId="401DF508" w:rsidR="002D6821" w:rsidRPr="002D6821" w:rsidRDefault="00CC3EB4" w:rsidP="00CC3EB4">
    <w:pPr>
      <w:pStyle w:val="Footer"/>
      <w:rPr>
        <w:sz w:val="18"/>
        <w:szCs w:val="18"/>
      </w:rPr>
    </w:pPr>
    <w:r>
      <w:rPr>
        <w:sz w:val="18"/>
        <w:szCs w:val="18"/>
      </w:rPr>
      <w:t>IRB Version 9-13-2020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C4DA" w14:textId="77777777" w:rsidR="00B96A30" w:rsidRDefault="00B96A30" w:rsidP="002D6821">
      <w:pPr>
        <w:spacing w:after="0" w:line="240" w:lineRule="auto"/>
      </w:pPr>
      <w:r>
        <w:separator/>
      </w:r>
    </w:p>
  </w:footnote>
  <w:footnote w:type="continuationSeparator" w:id="0">
    <w:p w14:paraId="16F08D78" w14:textId="77777777" w:rsidR="00B96A30" w:rsidRDefault="00B96A30" w:rsidP="002D6821">
      <w:pPr>
        <w:spacing w:after="0" w:line="240" w:lineRule="auto"/>
      </w:pPr>
      <w:r>
        <w:continuationSeparator/>
      </w:r>
    </w:p>
  </w:footnote>
  <w:footnote w:type="continuationNotice" w:id="1">
    <w:p w14:paraId="50019967" w14:textId="77777777" w:rsidR="00B96A30" w:rsidRDefault="00B96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5B85F" w14:textId="40C2223F" w:rsidR="00CC3EB4" w:rsidRDefault="00CC3EB4" w:rsidP="00CC3EB4">
    <w:pPr>
      <w:pStyle w:val="Header"/>
      <w:jc w:val="center"/>
    </w:pPr>
    <w:r>
      <w:rPr>
        <w:noProof/>
      </w:rPr>
      <w:drawing>
        <wp:inline distT="0" distB="0" distL="0" distR="0" wp14:anchorId="22701AA9" wp14:editId="7C72AFF1">
          <wp:extent cx="3476625" cy="489625"/>
          <wp:effectExtent l="0" t="0" r="0" b="5715"/>
          <wp:docPr id="1" name="Picture 1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_InstitutionalReviewBoard_ResearchAdmin_hz_st_280b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0646" cy="51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89224" w14:textId="77777777" w:rsidR="00CC3EB4" w:rsidRPr="00CC3EB4" w:rsidRDefault="00CC3EB4" w:rsidP="00CC3E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5D8C"/>
    <w:multiLevelType w:val="hybridMultilevel"/>
    <w:tmpl w:val="95DEFBF0"/>
    <w:lvl w:ilvl="0" w:tplc="E9F4ED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53F5"/>
    <w:multiLevelType w:val="multilevel"/>
    <w:tmpl w:val="6B0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52FF5"/>
    <w:multiLevelType w:val="hybridMultilevel"/>
    <w:tmpl w:val="FC20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729A8"/>
    <w:multiLevelType w:val="hybridMultilevel"/>
    <w:tmpl w:val="F9003826"/>
    <w:lvl w:ilvl="0" w:tplc="629467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D3+xjs1JfvwZYB4Yt0eJ/l6aO6+NqASaqpoASq1GIsDztSKtayk/ANngWti68XsjXc+Qbr4QPoisDNfF9KZYA==" w:salt="5NlXA7zoXIo+CBPdy50ua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F3"/>
    <w:rsid w:val="00013023"/>
    <w:rsid w:val="00040D01"/>
    <w:rsid w:val="000C05D7"/>
    <w:rsid w:val="000C25C9"/>
    <w:rsid w:val="001129FF"/>
    <w:rsid w:val="001A7335"/>
    <w:rsid w:val="002369A1"/>
    <w:rsid w:val="0028418B"/>
    <w:rsid w:val="002B43C6"/>
    <w:rsid w:val="002C5E0B"/>
    <w:rsid w:val="002D6821"/>
    <w:rsid w:val="002E2417"/>
    <w:rsid w:val="00324871"/>
    <w:rsid w:val="0033538A"/>
    <w:rsid w:val="00373C82"/>
    <w:rsid w:val="00381362"/>
    <w:rsid w:val="0039435C"/>
    <w:rsid w:val="003E3AEA"/>
    <w:rsid w:val="003E5CB9"/>
    <w:rsid w:val="003F15AB"/>
    <w:rsid w:val="00435348"/>
    <w:rsid w:val="00446E8A"/>
    <w:rsid w:val="00495447"/>
    <w:rsid w:val="004F599A"/>
    <w:rsid w:val="00550BEE"/>
    <w:rsid w:val="00570366"/>
    <w:rsid w:val="00576F7C"/>
    <w:rsid w:val="00584735"/>
    <w:rsid w:val="005B7E9B"/>
    <w:rsid w:val="00675D91"/>
    <w:rsid w:val="00685C79"/>
    <w:rsid w:val="006A5556"/>
    <w:rsid w:val="006D3996"/>
    <w:rsid w:val="007264CE"/>
    <w:rsid w:val="007610F3"/>
    <w:rsid w:val="00767102"/>
    <w:rsid w:val="00796D88"/>
    <w:rsid w:val="007C425A"/>
    <w:rsid w:val="007F1F40"/>
    <w:rsid w:val="007F5FA4"/>
    <w:rsid w:val="00806078"/>
    <w:rsid w:val="00811A47"/>
    <w:rsid w:val="00827C46"/>
    <w:rsid w:val="00835A84"/>
    <w:rsid w:val="008464AB"/>
    <w:rsid w:val="0085724D"/>
    <w:rsid w:val="008C4C78"/>
    <w:rsid w:val="008F023B"/>
    <w:rsid w:val="009743AA"/>
    <w:rsid w:val="009B569F"/>
    <w:rsid w:val="009D5E43"/>
    <w:rsid w:val="009F5AA9"/>
    <w:rsid w:val="00A04F36"/>
    <w:rsid w:val="00A26C93"/>
    <w:rsid w:val="00A334B2"/>
    <w:rsid w:val="00A5596F"/>
    <w:rsid w:val="00A638B6"/>
    <w:rsid w:val="00A65224"/>
    <w:rsid w:val="00A65DE7"/>
    <w:rsid w:val="00A80B96"/>
    <w:rsid w:val="00B415CA"/>
    <w:rsid w:val="00B42158"/>
    <w:rsid w:val="00B65D6A"/>
    <w:rsid w:val="00B96A30"/>
    <w:rsid w:val="00BA2139"/>
    <w:rsid w:val="00BC432B"/>
    <w:rsid w:val="00C4423F"/>
    <w:rsid w:val="00C662AA"/>
    <w:rsid w:val="00C86438"/>
    <w:rsid w:val="00CC219B"/>
    <w:rsid w:val="00CC3EB4"/>
    <w:rsid w:val="00CE6FA4"/>
    <w:rsid w:val="00D3591D"/>
    <w:rsid w:val="00D60ABC"/>
    <w:rsid w:val="00DB17CE"/>
    <w:rsid w:val="00DC5A02"/>
    <w:rsid w:val="00DF54A8"/>
    <w:rsid w:val="00E21E80"/>
    <w:rsid w:val="00E36418"/>
    <w:rsid w:val="00E47CDB"/>
    <w:rsid w:val="00E57D74"/>
    <w:rsid w:val="00E61CD2"/>
    <w:rsid w:val="00E71958"/>
    <w:rsid w:val="00ED1A9A"/>
    <w:rsid w:val="00FA1E5F"/>
    <w:rsid w:val="00FD3BAE"/>
    <w:rsid w:val="00FE392F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D7523"/>
  <w15:docId w15:val="{7F58577B-5EEB-4869-BACB-94FEC13C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0F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10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610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21"/>
  </w:style>
  <w:style w:type="paragraph" w:styleId="Footer">
    <w:name w:val="footer"/>
    <w:basedOn w:val="Normal"/>
    <w:link w:val="FooterChar"/>
    <w:uiPriority w:val="99"/>
    <w:unhideWhenUsed/>
    <w:rsid w:val="002D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21"/>
  </w:style>
  <w:style w:type="character" w:styleId="CommentReference">
    <w:name w:val="annotation reference"/>
    <w:basedOn w:val="DefaultParagraphFont"/>
    <w:uiPriority w:val="99"/>
    <w:semiHidden/>
    <w:unhideWhenUsed/>
    <w:rsid w:val="00726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47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73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99A"/>
    <w:rPr>
      <w:vertAlign w:val="superscript"/>
    </w:rPr>
  </w:style>
  <w:style w:type="paragraph" w:styleId="Revision">
    <w:name w:val="Revision"/>
    <w:hidden/>
    <w:uiPriority w:val="99"/>
    <w:semiHidden/>
    <w:rsid w:val="00373C8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5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.emory.edu/documents/PoliciesAndProcedure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da.gov/media/71627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.emory.edu/documents/dietarysupplements-medicalfoods-research.doc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1205-18D1-470A-917A-DB8165C972D5}"/>
      </w:docPartPr>
      <w:docPartBody>
        <w:p w:rsidR="00403224" w:rsidRDefault="00A335F3">
          <w:r w:rsidRPr="002457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F3"/>
    <w:rsid w:val="00403224"/>
    <w:rsid w:val="0079263F"/>
    <w:rsid w:val="00A335F3"/>
    <w:rsid w:val="00C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5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EBF7-63BC-403F-B916-CBDE0548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Dashevskaya, Olga</dc:creator>
  <cp:lastModifiedBy>Davila, Maria G.</cp:lastModifiedBy>
  <cp:revision>4</cp:revision>
  <cp:lastPrinted>2015-05-11T13:12:00Z</cp:lastPrinted>
  <dcterms:created xsi:type="dcterms:W3CDTF">2020-09-14T00:44:00Z</dcterms:created>
  <dcterms:modified xsi:type="dcterms:W3CDTF">2020-09-14T00:50:00Z</dcterms:modified>
</cp:coreProperties>
</file>