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B78B" w14:textId="2D21C597" w:rsidR="000663D7" w:rsidRPr="00602F54" w:rsidRDefault="000663D7" w:rsidP="00602F54">
      <w:pPr>
        <w:pStyle w:val="Title"/>
      </w:pPr>
      <w:r w:rsidRPr="00602F54">
        <w:t>Procedure Risk Guidance</w:t>
      </w:r>
    </w:p>
    <w:p w14:paraId="3A0228FA" w14:textId="77777777" w:rsidR="00F02316" w:rsidRPr="00602F54" w:rsidRDefault="00F02316" w:rsidP="00602F54">
      <w:pPr>
        <w:pStyle w:val="Heading1"/>
        <w:rPr>
          <w:rStyle w:val="Emphasis"/>
          <w:b/>
          <w:bCs/>
        </w:rPr>
      </w:pPr>
      <w:r w:rsidRPr="00602F54">
        <w:rPr>
          <w:rStyle w:val="Emphasis"/>
          <w:b/>
          <w:bCs/>
        </w:rPr>
        <w:t xml:space="preserve">About </w:t>
      </w:r>
      <w:proofErr w:type="gramStart"/>
      <w:r w:rsidRPr="00602F54">
        <w:rPr>
          <w:rStyle w:val="Emphasis"/>
          <w:b/>
          <w:bCs/>
        </w:rPr>
        <w:t>the Procedure</w:t>
      </w:r>
      <w:proofErr w:type="gramEnd"/>
      <w:r w:rsidRPr="00602F54">
        <w:rPr>
          <w:rStyle w:val="Emphasis"/>
          <w:b/>
          <w:bCs/>
        </w:rPr>
        <w:t xml:space="preserve"> Risk Guidance</w:t>
      </w:r>
    </w:p>
    <w:p w14:paraId="7FEAD43C" w14:textId="77777777" w:rsidR="00F02316" w:rsidRDefault="00F02316" w:rsidP="003A3959">
      <w:pPr>
        <w:pStyle w:val="NormalWeb"/>
        <w:rPr>
          <w:color w:val="000000"/>
        </w:rPr>
      </w:pPr>
      <w:r w:rsidRPr="004D51C3">
        <w:rPr>
          <w:b/>
          <w:bCs/>
          <w:color w:val="000000"/>
        </w:rPr>
        <w:t>The purpose</w:t>
      </w:r>
      <w:r>
        <w:rPr>
          <w:color w:val="000000"/>
        </w:rPr>
        <w:t xml:space="preserve"> of the guidance is to assist both IRB Staff and Committee Members in determining the route of IRB review, based on the relevant study procedures. </w:t>
      </w:r>
    </w:p>
    <w:p w14:paraId="6EDD04B2" w14:textId="77777777" w:rsidR="00F02316" w:rsidRDefault="00F02316" w:rsidP="003A3959">
      <w:pPr>
        <w:pStyle w:val="NormalWeb"/>
        <w:rPr>
          <w:color w:val="000000"/>
        </w:rPr>
      </w:pPr>
    </w:p>
    <w:p w14:paraId="300A0718" w14:textId="77777777" w:rsidR="00F02316" w:rsidRDefault="00F02316" w:rsidP="003A3959">
      <w:pPr>
        <w:pStyle w:val="NormalWeb"/>
        <w:rPr>
          <w:rFonts w:ascii="Arial" w:hAnsi="Arial" w:cs="Arial"/>
          <w:sz w:val="24"/>
          <w:szCs w:val="24"/>
        </w:rPr>
      </w:pPr>
      <w:r w:rsidRPr="004D51C3">
        <w:rPr>
          <w:b/>
          <w:bCs/>
          <w:color w:val="000000"/>
        </w:rPr>
        <w:t>The goals</w:t>
      </w:r>
      <w:r>
        <w:rPr>
          <w:color w:val="000000"/>
        </w:rPr>
        <w:t xml:space="preserve"> of this </w:t>
      </w:r>
      <w:proofErr w:type="gramStart"/>
      <w:r>
        <w:rPr>
          <w:color w:val="000000"/>
        </w:rPr>
        <w:t>guidance</w:t>
      </w:r>
      <w:proofErr w:type="gramEnd"/>
      <w:r>
        <w:rPr>
          <w:color w:val="000000"/>
        </w:rPr>
        <w:t xml:space="preserve"> are to:</w:t>
      </w:r>
    </w:p>
    <w:p w14:paraId="0BBEE2E3" w14:textId="77777777" w:rsidR="00F02316" w:rsidRDefault="00F02316" w:rsidP="00F02316">
      <w:pPr>
        <w:numPr>
          <w:ilvl w:val="0"/>
          <w:numId w:val="15"/>
        </w:numPr>
        <w:spacing w:after="0" w:line="240" w:lineRule="auto"/>
        <w:rPr>
          <w:rFonts w:ascii="Arial" w:eastAsia="Times New Roman" w:hAnsi="Arial" w:cs="Arial"/>
          <w:color w:val="000000"/>
          <w:sz w:val="24"/>
          <w:szCs w:val="24"/>
        </w:rPr>
      </w:pPr>
      <w:r>
        <w:rPr>
          <w:rFonts w:eastAsia="Times New Roman"/>
          <w:color w:val="000000"/>
        </w:rPr>
        <w:t>Facilitate consistency among reviewers and panels in risk determinations</w:t>
      </w:r>
    </w:p>
    <w:p w14:paraId="3512D6A9" w14:textId="77777777" w:rsidR="00F02316" w:rsidRDefault="00F02316" w:rsidP="00F02316">
      <w:pPr>
        <w:numPr>
          <w:ilvl w:val="0"/>
          <w:numId w:val="15"/>
        </w:numPr>
        <w:spacing w:after="0" w:line="240" w:lineRule="auto"/>
        <w:rPr>
          <w:rFonts w:ascii="Arial" w:eastAsia="Times New Roman" w:hAnsi="Arial" w:cs="Arial"/>
          <w:color w:val="000000"/>
          <w:sz w:val="24"/>
          <w:szCs w:val="24"/>
        </w:rPr>
      </w:pPr>
      <w:r>
        <w:rPr>
          <w:rFonts w:eastAsia="Times New Roman"/>
          <w:color w:val="000000"/>
        </w:rPr>
        <w:t>Minimize the burden of determining plans for initial and continuing reviews</w:t>
      </w:r>
    </w:p>
    <w:p w14:paraId="2EC1F414" w14:textId="77777777" w:rsidR="00F02316" w:rsidRDefault="00F02316" w:rsidP="003A3959">
      <w:pPr>
        <w:pStyle w:val="NormalWeb"/>
        <w:rPr>
          <w:color w:val="000000"/>
        </w:rPr>
      </w:pPr>
    </w:p>
    <w:p w14:paraId="61BD5F35" w14:textId="77777777" w:rsidR="00F02316" w:rsidRDefault="00F02316" w:rsidP="003A3959">
      <w:pPr>
        <w:pStyle w:val="NormalWeb"/>
        <w:rPr>
          <w:color w:val="000000"/>
        </w:rPr>
      </w:pPr>
      <w:r w:rsidRPr="004D51C3">
        <w:rPr>
          <w:b/>
          <w:bCs/>
          <w:color w:val="000000"/>
        </w:rPr>
        <w:t>The scope</w:t>
      </w:r>
      <w:r>
        <w:rPr>
          <w:color w:val="000000"/>
        </w:rPr>
        <w:t xml:space="preserve"> of this guidance:</w:t>
      </w:r>
    </w:p>
    <w:p w14:paraId="38FA5A15" w14:textId="77777777" w:rsidR="00F02316" w:rsidRDefault="00F02316" w:rsidP="003A3959">
      <w:pPr>
        <w:pStyle w:val="NormalWeb"/>
        <w:rPr>
          <w:color w:val="000000"/>
        </w:rPr>
      </w:pPr>
      <w:r>
        <w:rPr>
          <w:color w:val="000000"/>
        </w:rPr>
        <w:t xml:space="preserve">This guidance does not provide an </w:t>
      </w:r>
      <w:r w:rsidRPr="00771C3F">
        <w:rPr>
          <w:color w:val="000000"/>
        </w:rPr>
        <w:t>exhaustive list </w:t>
      </w:r>
      <w:r>
        <w:rPr>
          <w:color w:val="000000"/>
        </w:rPr>
        <w:t xml:space="preserve">of procedures </w:t>
      </w:r>
      <w:r w:rsidRPr="00771C3F">
        <w:rPr>
          <w:color w:val="000000"/>
        </w:rPr>
        <w:t>but incorporates commonly seen procedures</w:t>
      </w:r>
      <w:r>
        <w:rPr>
          <w:color w:val="000000"/>
        </w:rPr>
        <w:t xml:space="preserve"> in reviewed research</w:t>
      </w:r>
      <w:r w:rsidRPr="00771C3F">
        <w:rPr>
          <w:color w:val="000000"/>
        </w:rPr>
        <w:t xml:space="preserve">. </w:t>
      </w:r>
      <w:r>
        <w:rPr>
          <w:color w:val="000000"/>
        </w:rPr>
        <w:t>Studies that include procedures listed in the risk guidance usually</w:t>
      </w:r>
      <w:r w:rsidRPr="00771C3F">
        <w:rPr>
          <w:color w:val="000000"/>
        </w:rPr>
        <w:t xml:space="preserve"> will not </w:t>
      </w:r>
      <w:r>
        <w:rPr>
          <w:color w:val="000000"/>
        </w:rPr>
        <w:t>qualify for Expedited Review and, thus, require initial review by the convened IRB. </w:t>
      </w:r>
    </w:p>
    <w:p w14:paraId="775EABB2" w14:textId="77777777" w:rsidR="00F02316" w:rsidRPr="004D51C3" w:rsidRDefault="00F02316" w:rsidP="003A3959">
      <w:pPr>
        <w:pStyle w:val="NormalWeb"/>
        <w:rPr>
          <w:color w:val="000000"/>
        </w:rPr>
      </w:pPr>
    </w:p>
    <w:p w14:paraId="05EDC43A" w14:textId="602048BB" w:rsidR="00F02316" w:rsidRPr="00602F54" w:rsidRDefault="00F02316" w:rsidP="00602F54">
      <w:pPr>
        <w:pStyle w:val="Heading1"/>
        <w:rPr>
          <w:rStyle w:val="Emphasis"/>
          <w:b/>
          <w:bCs/>
        </w:rPr>
      </w:pPr>
      <w:r w:rsidRPr="00602F54">
        <w:rPr>
          <w:rStyle w:val="Emphasis"/>
          <w:b/>
          <w:bCs/>
        </w:rPr>
        <w:t>Procedure Risk Guidance for Full Board Reviews</w:t>
      </w:r>
    </w:p>
    <w:p w14:paraId="0D8DA297" w14:textId="77777777" w:rsidR="00F02316" w:rsidRDefault="00F02316" w:rsidP="003A3959">
      <w:pPr>
        <w:pStyle w:val="NormalWeb"/>
        <w:rPr>
          <w:color w:val="000000"/>
        </w:rPr>
      </w:pPr>
      <w:r w:rsidRPr="007D542A">
        <w:rPr>
          <w:color w:val="000000"/>
        </w:rPr>
        <w:t>The</w:t>
      </w:r>
      <w:r w:rsidRPr="007D542A">
        <w:rPr>
          <w:i/>
          <w:iCs/>
          <w:color w:val="000000"/>
        </w:rPr>
        <w:t xml:space="preserve"> Procedure</w:t>
      </w:r>
      <w:r>
        <w:rPr>
          <w:color w:val="000000"/>
        </w:rPr>
        <w:t xml:space="preserve"> column lists common </w:t>
      </w:r>
      <w:r w:rsidRPr="004D51C3">
        <w:rPr>
          <w:color w:val="000000"/>
        </w:rPr>
        <w:t>examples of research interventions</w:t>
      </w:r>
      <w:r>
        <w:rPr>
          <w:color w:val="000000"/>
        </w:rPr>
        <w:t xml:space="preserve"> and </w:t>
      </w:r>
      <w:r w:rsidRPr="004D51C3">
        <w:rPr>
          <w:color w:val="000000"/>
        </w:rPr>
        <w:t>interactions that require Full Board review</w:t>
      </w:r>
      <w:r>
        <w:rPr>
          <w:color w:val="000000"/>
        </w:rPr>
        <w:t>,</w:t>
      </w:r>
      <w:r w:rsidRPr="004D51C3">
        <w:rPr>
          <w:color w:val="000000"/>
        </w:rPr>
        <w:t xml:space="preserve"> at least initially. </w:t>
      </w:r>
    </w:p>
    <w:p w14:paraId="0DA33334" w14:textId="77777777" w:rsidR="00F02316" w:rsidRDefault="00F02316" w:rsidP="003A3959">
      <w:pPr>
        <w:pStyle w:val="NormalWeb"/>
        <w:rPr>
          <w:color w:val="000000"/>
        </w:rPr>
      </w:pPr>
    </w:p>
    <w:p w14:paraId="48F01C25" w14:textId="77777777" w:rsidR="00F02316" w:rsidRDefault="00F02316" w:rsidP="00F02316">
      <w:pPr>
        <w:pStyle w:val="NormalWeb"/>
        <w:rPr>
          <w:color w:val="000000"/>
        </w:rPr>
      </w:pPr>
      <w:r w:rsidRPr="007D542A">
        <w:rPr>
          <w:color w:val="000000"/>
        </w:rPr>
        <w:t>The</w:t>
      </w:r>
      <w:r>
        <w:rPr>
          <w:i/>
          <w:iCs/>
          <w:color w:val="000000"/>
        </w:rPr>
        <w:t xml:space="preserve"> </w:t>
      </w:r>
      <w:r w:rsidRPr="007D542A">
        <w:rPr>
          <w:i/>
          <w:iCs/>
          <w:color w:val="000000"/>
        </w:rPr>
        <w:t>Risk Assessment at Full Board</w:t>
      </w:r>
      <w:r>
        <w:rPr>
          <w:color w:val="000000"/>
        </w:rPr>
        <w:t xml:space="preserve"> column table indicates </w:t>
      </w:r>
      <w:r w:rsidRPr="004D51C3">
        <w:rPr>
          <w:color w:val="000000"/>
        </w:rPr>
        <w:t xml:space="preserve">whether the </w:t>
      </w:r>
      <w:r>
        <w:rPr>
          <w:color w:val="000000"/>
        </w:rPr>
        <w:t>listed intervention</w:t>
      </w:r>
      <w:r w:rsidRPr="004D51C3">
        <w:rPr>
          <w:color w:val="000000"/>
        </w:rPr>
        <w:t xml:space="preserve">/interaction </w:t>
      </w:r>
      <w:r>
        <w:rPr>
          <w:color w:val="000000"/>
        </w:rPr>
        <w:t xml:space="preserve">either: may be deemed </w:t>
      </w:r>
      <w:r w:rsidRPr="004D51C3">
        <w:rPr>
          <w:i/>
          <w:iCs/>
          <w:color w:val="000000"/>
        </w:rPr>
        <w:t>no greater than minimal risk</w:t>
      </w:r>
      <w:r w:rsidRPr="004D51C3">
        <w:rPr>
          <w:color w:val="000000"/>
        </w:rPr>
        <w:t xml:space="preserve"> and eligible for expedited Continuing Review (depending on the specifics of the study)</w:t>
      </w:r>
      <w:r>
        <w:rPr>
          <w:color w:val="000000"/>
        </w:rPr>
        <w:t xml:space="preserve"> </w:t>
      </w:r>
      <w:r w:rsidRPr="007D542A">
        <w:rPr>
          <w:i/>
          <w:iCs/>
          <w:color w:val="000000"/>
        </w:rPr>
        <w:t>OR</w:t>
      </w:r>
      <w:r>
        <w:rPr>
          <w:color w:val="000000"/>
        </w:rPr>
        <w:t xml:space="preserve"> must always be considered </w:t>
      </w:r>
      <w:r w:rsidRPr="004D51C3">
        <w:rPr>
          <w:i/>
          <w:iCs/>
          <w:color w:val="000000"/>
        </w:rPr>
        <w:t>greater than minimal risk</w:t>
      </w:r>
      <w:r>
        <w:rPr>
          <w:color w:val="000000"/>
        </w:rPr>
        <w:t xml:space="preserve"> and remain </w:t>
      </w:r>
      <w:r w:rsidRPr="004D51C3">
        <w:rPr>
          <w:color w:val="000000"/>
        </w:rPr>
        <w:t>under full board review</w:t>
      </w:r>
      <w:r>
        <w:rPr>
          <w:color w:val="000000"/>
        </w:rPr>
        <w:t>.</w:t>
      </w:r>
    </w:p>
    <w:p w14:paraId="21FFFAB1" w14:textId="77777777" w:rsidR="00F02316" w:rsidRPr="004D51C3" w:rsidRDefault="00F02316" w:rsidP="00F02316">
      <w:pPr>
        <w:pStyle w:val="NormalWeb"/>
        <w:rPr>
          <w:color w:val="000000"/>
        </w:rPr>
      </w:pPr>
    </w:p>
    <w:tbl>
      <w:tblPr>
        <w:tblStyle w:val="TableGrid"/>
        <w:tblW w:w="0" w:type="auto"/>
        <w:tblLook w:val="04A0" w:firstRow="1" w:lastRow="0" w:firstColumn="1" w:lastColumn="0" w:noHBand="0" w:noVBand="1"/>
      </w:tblPr>
      <w:tblGrid>
        <w:gridCol w:w="5215"/>
        <w:gridCol w:w="3775"/>
      </w:tblGrid>
      <w:tr w:rsidR="000663D7" w:rsidRPr="003B17C1" w14:paraId="5C0420AC" w14:textId="77777777" w:rsidTr="00934758">
        <w:trPr>
          <w:tblHeader/>
        </w:trPr>
        <w:tc>
          <w:tcPr>
            <w:tcW w:w="5215" w:type="dxa"/>
            <w:shd w:val="clear" w:color="auto" w:fill="44546A" w:themeFill="text2"/>
            <w:vAlign w:val="center"/>
          </w:tcPr>
          <w:p w14:paraId="42AD2C42" w14:textId="103C93CA" w:rsidR="000663D7" w:rsidRPr="00522EB1" w:rsidRDefault="000663D7" w:rsidP="00685B8C">
            <w:pPr>
              <w:rPr>
                <w:b/>
                <w:bCs/>
                <w:color w:val="FFFFFF" w:themeColor="background1"/>
              </w:rPr>
            </w:pPr>
            <w:r w:rsidRPr="00522EB1">
              <w:rPr>
                <w:b/>
                <w:bCs/>
                <w:color w:val="FFFFFF" w:themeColor="background1"/>
              </w:rPr>
              <w:t>Procedure</w:t>
            </w:r>
          </w:p>
        </w:tc>
        <w:tc>
          <w:tcPr>
            <w:tcW w:w="3775" w:type="dxa"/>
            <w:shd w:val="clear" w:color="auto" w:fill="44546A" w:themeFill="text2"/>
            <w:vAlign w:val="center"/>
          </w:tcPr>
          <w:p w14:paraId="0887C7AE" w14:textId="3CADECA7" w:rsidR="000663D7" w:rsidRPr="00522EB1" w:rsidRDefault="00DD01ED" w:rsidP="00685B8C">
            <w:pPr>
              <w:rPr>
                <w:b/>
                <w:bCs/>
                <w:color w:val="FFFFFF" w:themeColor="background1"/>
              </w:rPr>
            </w:pPr>
            <w:r w:rsidRPr="00522EB1">
              <w:rPr>
                <w:b/>
                <w:bCs/>
                <w:color w:val="FFFFFF" w:themeColor="background1"/>
              </w:rPr>
              <w:t>Risk Assessment at Full Board</w:t>
            </w:r>
          </w:p>
        </w:tc>
      </w:tr>
      <w:tr w:rsidR="000663D7" w:rsidRPr="003B17C1" w14:paraId="0C8960C1" w14:textId="264D91D9" w:rsidTr="00934758">
        <w:tc>
          <w:tcPr>
            <w:tcW w:w="5215" w:type="dxa"/>
            <w:vAlign w:val="center"/>
          </w:tcPr>
          <w:p w14:paraId="03486CFA" w14:textId="4975A020" w:rsidR="000663D7" w:rsidRPr="003B17C1" w:rsidRDefault="000663D7" w:rsidP="00685B8C">
            <w:r w:rsidRPr="00685B8C">
              <w:rPr>
                <w:b/>
                <w:bCs/>
              </w:rPr>
              <w:t>Behavioral studies</w:t>
            </w:r>
            <w:r w:rsidRPr="003B17C1">
              <w:t xml:space="preserve"> involving risky interventions, observations of illegal behavior, or deception </w:t>
            </w:r>
            <w:r w:rsidR="001A7424">
              <w:t xml:space="preserve">that meets the threshold for review by committee </w:t>
            </w:r>
            <w:r w:rsidRPr="003B17C1">
              <w:t>(CMTE C)</w:t>
            </w:r>
            <w:r w:rsidR="001A7424">
              <w:t xml:space="preserve"> </w:t>
            </w:r>
          </w:p>
        </w:tc>
        <w:tc>
          <w:tcPr>
            <w:tcW w:w="3775" w:type="dxa"/>
            <w:vAlign w:val="center"/>
          </w:tcPr>
          <w:p w14:paraId="08E0ECA8" w14:textId="6C7208EF" w:rsidR="000663D7" w:rsidRPr="003B17C1" w:rsidRDefault="000663D7" w:rsidP="00685B8C">
            <w:r w:rsidRPr="003B17C1">
              <w:t>If the convened IRB determine</w:t>
            </w:r>
            <w:r w:rsidR="009C279A">
              <w:t>s</w:t>
            </w:r>
            <w:r w:rsidRPr="003B17C1">
              <w:t xml:space="preserve"> that the overall risk level of the study is NMTMR, </w:t>
            </w:r>
            <w:proofErr w:type="gramStart"/>
            <w:r w:rsidRPr="003B17C1">
              <w:t>may</w:t>
            </w:r>
            <w:proofErr w:type="gramEnd"/>
            <w:r w:rsidRPr="003B17C1">
              <w:t xml:space="preserve"> qualify for expedited review</w:t>
            </w:r>
            <w:r w:rsidR="009C279A">
              <w:t xml:space="preserve"> </w:t>
            </w:r>
            <w:r w:rsidR="00895BC5">
              <w:t xml:space="preserve">in the future </w:t>
            </w:r>
            <w:r w:rsidR="009C279A">
              <w:t>under category 9</w:t>
            </w:r>
            <w:r w:rsidRPr="003B17C1">
              <w:t>.</w:t>
            </w:r>
          </w:p>
        </w:tc>
      </w:tr>
      <w:tr w:rsidR="000663D7" w:rsidRPr="003B17C1" w14:paraId="0C9575A2" w14:textId="37E38CB3" w:rsidTr="00934758">
        <w:tc>
          <w:tcPr>
            <w:tcW w:w="5215" w:type="dxa"/>
            <w:vAlign w:val="center"/>
          </w:tcPr>
          <w:p w14:paraId="0D518CDB" w14:textId="161ECD4C" w:rsidR="000663D7" w:rsidRPr="00685B8C" w:rsidRDefault="00293700" w:rsidP="00685B8C">
            <w:pPr>
              <w:rPr>
                <w:b/>
                <w:bCs/>
              </w:rPr>
            </w:pPr>
            <w:r w:rsidRPr="00685B8C">
              <w:rPr>
                <w:b/>
                <w:bCs/>
              </w:rPr>
              <w:t>Acupuncture</w:t>
            </w:r>
            <w:r w:rsidR="00895BC5" w:rsidRPr="00685B8C">
              <w:rPr>
                <w:b/>
                <w:bCs/>
              </w:rPr>
              <w:t>/dry needling</w:t>
            </w:r>
          </w:p>
        </w:tc>
        <w:tc>
          <w:tcPr>
            <w:tcW w:w="3775" w:type="dxa"/>
            <w:vAlign w:val="center"/>
          </w:tcPr>
          <w:p w14:paraId="2F997430" w14:textId="56D0006B" w:rsidR="000663D7" w:rsidRPr="003B17C1" w:rsidRDefault="00895BC5" w:rsidP="00685B8C">
            <w:r w:rsidRPr="00895BC5">
              <w:t xml:space="preserve">If the convened IRB determines that the overall risk level of the study is NMTMR, </w:t>
            </w:r>
            <w:proofErr w:type="gramStart"/>
            <w:r w:rsidRPr="00895BC5">
              <w:t>may</w:t>
            </w:r>
            <w:proofErr w:type="gramEnd"/>
            <w:r w:rsidRPr="00895BC5">
              <w:t xml:space="preserve"> qualify for expedited review in the future under category 9.</w:t>
            </w:r>
          </w:p>
        </w:tc>
      </w:tr>
      <w:tr w:rsidR="000663D7" w:rsidRPr="003B17C1" w14:paraId="7A5354A2" w14:textId="2D0B2204" w:rsidTr="00934758">
        <w:tc>
          <w:tcPr>
            <w:tcW w:w="5215" w:type="dxa"/>
            <w:vAlign w:val="center"/>
          </w:tcPr>
          <w:p w14:paraId="2A6B2BD5" w14:textId="18686019" w:rsidR="000663D7" w:rsidRPr="003B17C1" w:rsidRDefault="000663D7" w:rsidP="00685B8C">
            <w:pPr>
              <w:rPr>
                <w:b/>
                <w:bCs/>
              </w:rPr>
            </w:pPr>
            <w:r w:rsidRPr="00685B8C">
              <w:rPr>
                <w:b/>
                <w:bCs/>
              </w:rPr>
              <w:t xml:space="preserve">Blood draw in healthy </w:t>
            </w:r>
            <w:r w:rsidRPr="00685B8C">
              <w:rPr>
                <w:b/>
                <w:bCs/>
                <w:i/>
                <w:iCs/>
              </w:rPr>
              <w:t>nonpregnant</w:t>
            </w:r>
            <w:r w:rsidRPr="00685B8C">
              <w:rPr>
                <w:b/>
                <w:bCs/>
              </w:rPr>
              <w:t xml:space="preserve"> adults</w:t>
            </w:r>
            <w:r w:rsidRPr="003B17C1">
              <w:t xml:space="preserve"> weighing at least 110 </w:t>
            </w:r>
            <w:proofErr w:type="spellStart"/>
            <w:r w:rsidRPr="003B17C1">
              <w:t>lbs</w:t>
            </w:r>
            <w:proofErr w:type="spellEnd"/>
            <w:r w:rsidRPr="003B17C1">
              <w:t xml:space="preserve"> – the amount to be collected </w:t>
            </w:r>
            <w:r w:rsidRPr="00685B8C">
              <w:t xml:space="preserve">exceeds 550 ml in an 8-week period </w:t>
            </w:r>
            <w:r w:rsidR="00685B8C" w:rsidRPr="00685B8C">
              <w:t>or</w:t>
            </w:r>
            <w:r w:rsidRPr="00685B8C">
              <w:t xml:space="preserve"> the collection is more than 2x/week</w:t>
            </w:r>
          </w:p>
          <w:p w14:paraId="1E69CD53" w14:textId="77777777" w:rsidR="000663D7" w:rsidRPr="003B17C1" w:rsidRDefault="000663D7" w:rsidP="00685B8C">
            <w:pPr>
              <w:rPr>
                <w:b/>
                <w:bCs/>
              </w:rPr>
            </w:pPr>
          </w:p>
          <w:p w14:paraId="5CCE8864" w14:textId="0C13540F" w:rsidR="000663D7" w:rsidRPr="003B17C1" w:rsidRDefault="000663D7" w:rsidP="00685B8C">
            <w:r w:rsidRPr="00685B8C">
              <w:rPr>
                <w:i/>
                <w:iCs/>
              </w:rPr>
              <w:t>Note:</w:t>
            </w:r>
            <w:r w:rsidRPr="003B17C1">
              <w:t xml:space="preserve"> Determine if blood is drawn via indwelling catheter, since that may will impact assessment of “Frequency</w:t>
            </w:r>
            <w:r w:rsidR="00895BC5">
              <w:t>.</w:t>
            </w:r>
            <w:r w:rsidRPr="003B17C1">
              <w:t>”</w:t>
            </w:r>
            <w:r w:rsidR="00895BC5">
              <w:t xml:space="preserve"> Ensure this information is included in the protocol. </w:t>
            </w:r>
          </w:p>
        </w:tc>
        <w:tc>
          <w:tcPr>
            <w:tcW w:w="3775" w:type="dxa"/>
            <w:vAlign w:val="center"/>
          </w:tcPr>
          <w:p w14:paraId="1F24BF5C" w14:textId="3C992074" w:rsidR="000663D7" w:rsidRPr="003B17C1" w:rsidRDefault="00895BC5" w:rsidP="00685B8C">
            <w:r w:rsidRPr="00895BC5">
              <w:t xml:space="preserve">If the convened IRB determines that the overall risk level of the study is NMTMR, </w:t>
            </w:r>
            <w:proofErr w:type="gramStart"/>
            <w:r w:rsidRPr="00895BC5">
              <w:t>may</w:t>
            </w:r>
            <w:proofErr w:type="gramEnd"/>
            <w:r w:rsidRPr="00895BC5">
              <w:t xml:space="preserve"> qualify for expedited review in the future under category 9.</w:t>
            </w:r>
          </w:p>
        </w:tc>
      </w:tr>
      <w:tr w:rsidR="000663D7" w:rsidRPr="003B17C1" w14:paraId="3BE551CC" w14:textId="5FCDDFF9" w:rsidTr="00934758">
        <w:tc>
          <w:tcPr>
            <w:tcW w:w="5215" w:type="dxa"/>
            <w:vAlign w:val="center"/>
          </w:tcPr>
          <w:p w14:paraId="108CAEDF" w14:textId="76585202" w:rsidR="000663D7" w:rsidRPr="003B17C1" w:rsidRDefault="000663D7" w:rsidP="00685B8C">
            <w:pPr>
              <w:rPr>
                <w:b/>
                <w:bCs/>
              </w:rPr>
            </w:pPr>
            <w:r w:rsidRPr="00685B8C">
              <w:rPr>
                <w:b/>
                <w:bCs/>
              </w:rPr>
              <w:t>Blood draw in other adults and children</w:t>
            </w:r>
            <w:r w:rsidRPr="003B17C1">
              <w:t xml:space="preserve"> considering age, weight, and health, – the amount to be collected is </w:t>
            </w:r>
            <w:r w:rsidRPr="00685B8C">
              <w:lastRenderedPageBreak/>
              <w:t xml:space="preserve">greater of 50 ml or 3 ml per kg in an 8-week period </w:t>
            </w:r>
            <w:r w:rsidR="00685B8C" w:rsidRPr="00685B8C">
              <w:t>or</w:t>
            </w:r>
            <w:r w:rsidRPr="00685B8C">
              <w:t xml:space="preserve"> collection is more than 2x/week</w:t>
            </w:r>
          </w:p>
          <w:p w14:paraId="6332E8E4" w14:textId="77777777" w:rsidR="000663D7" w:rsidRPr="003B17C1" w:rsidRDefault="000663D7" w:rsidP="00685B8C"/>
          <w:p w14:paraId="69E2C67B" w14:textId="1EF28200" w:rsidR="000663D7" w:rsidRPr="003B17C1" w:rsidRDefault="000663D7" w:rsidP="00685B8C">
            <w:r w:rsidRPr="00685B8C">
              <w:rPr>
                <w:i/>
                <w:iCs/>
              </w:rPr>
              <w:t>Note:</w:t>
            </w:r>
            <w:r w:rsidRPr="003B17C1">
              <w:t xml:space="preserve"> Determine if blood is drawn via indwelling catheter, since that may will impact assessment of “Frequency</w:t>
            </w:r>
            <w:r w:rsidR="00895BC5">
              <w:t>.</w:t>
            </w:r>
            <w:r w:rsidRPr="003B17C1">
              <w:t>”</w:t>
            </w:r>
            <w:r w:rsidR="00895BC5">
              <w:t xml:space="preserve"> </w:t>
            </w:r>
            <w:r w:rsidR="00895BC5" w:rsidRPr="00895BC5">
              <w:t>Ensure this information is included in the protocol.</w:t>
            </w:r>
          </w:p>
        </w:tc>
        <w:tc>
          <w:tcPr>
            <w:tcW w:w="3775" w:type="dxa"/>
            <w:vAlign w:val="center"/>
          </w:tcPr>
          <w:p w14:paraId="78162C18" w14:textId="1102EC63" w:rsidR="000663D7" w:rsidRPr="003B17C1" w:rsidRDefault="00895BC5" w:rsidP="00685B8C">
            <w:r w:rsidRPr="00895BC5">
              <w:lastRenderedPageBreak/>
              <w:t xml:space="preserve">If the convened IRB determines that the overall risk level of the study is </w:t>
            </w:r>
            <w:proofErr w:type="gramStart"/>
            <w:r w:rsidRPr="00895BC5">
              <w:lastRenderedPageBreak/>
              <w:t>NMTMR,</w:t>
            </w:r>
            <w:proofErr w:type="gramEnd"/>
            <w:r w:rsidRPr="00895BC5">
              <w:t xml:space="preserve"> </w:t>
            </w:r>
            <w:proofErr w:type="gramStart"/>
            <w:r w:rsidRPr="00895BC5">
              <w:t>may</w:t>
            </w:r>
            <w:proofErr w:type="gramEnd"/>
            <w:r w:rsidRPr="00895BC5">
              <w:t xml:space="preserve"> qualify for expedited review in the future under category 9.</w:t>
            </w:r>
          </w:p>
        </w:tc>
      </w:tr>
      <w:tr w:rsidR="00895BC5" w:rsidRPr="003B17C1" w14:paraId="4FD7F669" w14:textId="32E43A95" w:rsidTr="00934758">
        <w:tc>
          <w:tcPr>
            <w:tcW w:w="5215" w:type="dxa"/>
            <w:vAlign w:val="center"/>
          </w:tcPr>
          <w:p w14:paraId="7D340605" w14:textId="6F51A7E6" w:rsidR="00895BC5" w:rsidRPr="00685B8C" w:rsidRDefault="0066374F" w:rsidP="00685B8C">
            <w:pPr>
              <w:rPr>
                <w:b/>
                <w:bCs/>
              </w:rPr>
            </w:pPr>
            <w:r w:rsidRPr="00685B8C">
              <w:rPr>
                <w:b/>
                <w:bCs/>
              </w:rPr>
              <w:lastRenderedPageBreak/>
              <w:t>Punch b</w:t>
            </w:r>
            <w:r w:rsidR="00895BC5" w:rsidRPr="00685B8C">
              <w:rPr>
                <w:b/>
                <w:bCs/>
              </w:rPr>
              <w:t xml:space="preserve">iopsy </w:t>
            </w:r>
          </w:p>
        </w:tc>
        <w:tc>
          <w:tcPr>
            <w:tcW w:w="3775" w:type="dxa"/>
            <w:vAlign w:val="center"/>
          </w:tcPr>
          <w:p w14:paraId="78A83B9E" w14:textId="6052C357" w:rsidR="00895BC5" w:rsidRPr="003B17C1" w:rsidRDefault="008B19A6" w:rsidP="00685B8C">
            <w:r w:rsidRPr="00685B8C">
              <w:rPr>
                <w:b/>
                <w:bCs/>
              </w:rPr>
              <w:t>For biopsies from non-facial, non-genital skin with allowable local anesthesia and limited to 2mm in diameter and not requiring sutures</w:t>
            </w:r>
            <w:r>
              <w:t>, i</w:t>
            </w:r>
            <w:r w:rsidR="00895BC5" w:rsidRPr="00895BC5">
              <w:t>f the convened IRB determines that the overall risk level of the study is NMTMR, may qualify for expedited review in the future under category 9.</w:t>
            </w:r>
          </w:p>
        </w:tc>
      </w:tr>
      <w:tr w:rsidR="008B19A6" w:rsidRPr="003B17C1" w14:paraId="41D4660A" w14:textId="77777777" w:rsidTr="00934758">
        <w:tc>
          <w:tcPr>
            <w:tcW w:w="5215" w:type="dxa"/>
            <w:vAlign w:val="center"/>
          </w:tcPr>
          <w:p w14:paraId="7356C9EC" w14:textId="33C2CC49" w:rsidR="008B19A6" w:rsidRDefault="00021F23" w:rsidP="00685B8C">
            <w:r w:rsidRPr="00685B8C">
              <w:rPr>
                <w:b/>
                <w:bCs/>
              </w:rPr>
              <w:t>Collection of additional information or biological specimens, excluding blood, for research purposes</w:t>
            </w:r>
            <w:r w:rsidRPr="00021F23">
              <w:t xml:space="preserve"> during procedures already being performed for clinical purposes, provided the additional collection does not introduce more than a minimal increase in risk, pain or discomfort over that imposed by the underlying procedure.</w:t>
            </w:r>
            <w:r>
              <w:t xml:space="preserve"> </w:t>
            </w:r>
          </w:p>
        </w:tc>
        <w:tc>
          <w:tcPr>
            <w:tcW w:w="3775" w:type="dxa"/>
            <w:vAlign w:val="center"/>
          </w:tcPr>
          <w:p w14:paraId="638D6123" w14:textId="2DDC5A88" w:rsidR="00021F23" w:rsidRPr="00021F23" w:rsidRDefault="00901E1A" w:rsidP="00685B8C">
            <w:r w:rsidRPr="00901E1A">
              <w:t xml:space="preserve">If the convened IRB determines that the overall risk level of the study is NMTMR, </w:t>
            </w:r>
            <w:proofErr w:type="gramStart"/>
            <w:r w:rsidRPr="00901E1A">
              <w:t>may</w:t>
            </w:r>
            <w:proofErr w:type="gramEnd"/>
            <w:r w:rsidRPr="00901E1A">
              <w:t xml:space="preserve"> qualify for expedited review in the future under expedited category 9.</w:t>
            </w:r>
          </w:p>
        </w:tc>
      </w:tr>
      <w:tr w:rsidR="00895BC5" w:rsidRPr="003B17C1" w14:paraId="5EA4536C" w14:textId="69042644" w:rsidTr="00934758">
        <w:tc>
          <w:tcPr>
            <w:tcW w:w="5215" w:type="dxa"/>
            <w:vAlign w:val="center"/>
          </w:tcPr>
          <w:p w14:paraId="2B14F915" w14:textId="17214C0A" w:rsidR="00895BC5" w:rsidRPr="00685B8C" w:rsidRDefault="00685B8C" w:rsidP="00685B8C">
            <w:pPr>
              <w:rPr>
                <w:b/>
                <w:bCs/>
              </w:rPr>
            </w:pPr>
            <w:proofErr w:type="gramStart"/>
            <w:r>
              <w:rPr>
                <w:b/>
                <w:bCs/>
              </w:rPr>
              <w:t>C</w:t>
            </w:r>
            <w:r w:rsidR="00895BC5" w:rsidRPr="00685B8C">
              <w:rPr>
                <w:b/>
                <w:bCs/>
              </w:rPr>
              <w:t>T Scan</w:t>
            </w:r>
            <w:proofErr w:type="gramEnd"/>
          </w:p>
        </w:tc>
        <w:tc>
          <w:tcPr>
            <w:tcW w:w="3775" w:type="dxa"/>
            <w:vAlign w:val="center"/>
          </w:tcPr>
          <w:p w14:paraId="5F3CE0EF" w14:textId="08661265" w:rsidR="00895BC5" w:rsidRPr="003B17C1" w:rsidRDefault="00895BC5" w:rsidP="00685B8C">
            <w:r>
              <w:t>Must remain under full board review; considered GTMR</w:t>
            </w:r>
          </w:p>
        </w:tc>
      </w:tr>
      <w:tr w:rsidR="00B20D4F" w:rsidRPr="003B17C1" w14:paraId="6FE0087D" w14:textId="77777777" w:rsidTr="00934758">
        <w:tc>
          <w:tcPr>
            <w:tcW w:w="5215" w:type="dxa"/>
            <w:vAlign w:val="center"/>
          </w:tcPr>
          <w:p w14:paraId="14282AA9" w14:textId="7FBB5574" w:rsidR="00B20D4F" w:rsidRDefault="00B20D4F" w:rsidP="00685B8C">
            <w:pPr>
              <w:rPr>
                <w:b/>
                <w:bCs/>
              </w:rPr>
            </w:pPr>
            <w:r>
              <w:rPr>
                <w:b/>
                <w:bCs/>
              </w:rPr>
              <w:t>Continuous Glucose Monitoring</w:t>
            </w:r>
          </w:p>
        </w:tc>
        <w:tc>
          <w:tcPr>
            <w:tcW w:w="3775" w:type="dxa"/>
            <w:vAlign w:val="center"/>
          </w:tcPr>
          <w:p w14:paraId="13FC1AFE" w14:textId="79E36B69" w:rsidR="009622A8" w:rsidRDefault="009622A8" w:rsidP="009622A8">
            <w:r w:rsidRPr="003B17C1">
              <w:t>If the convened IRB determine</w:t>
            </w:r>
            <w:r>
              <w:t>s</w:t>
            </w:r>
            <w:r w:rsidRPr="003B17C1">
              <w:t xml:space="preserve"> that the overall risk level of the study is NMTMR, </w:t>
            </w:r>
            <w:proofErr w:type="gramStart"/>
            <w:r w:rsidRPr="003B17C1">
              <w:t>may</w:t>
            </w:r>
            <w:proofErr w:type="gramEnd"/>
            <w:r w:rsidRPr="003B17C1">
              <w:t xml:space="preserve"> qualify for expedited review</w:t>
            </w:r>
            <w:r>
              <w:t xml:space="preserve"> in the future under expedited category 9. </w:t>
            </w:r>
          </w:p>
          <w:p w14:paraId="63F95934" w14:textId="77777777" w:rsidR="00B20D4F" w:rsidRPr="003B17C1" w:rsidRDefault="00B20D4F" w:rsidP="00685B8C"/>
        </w:tc>
      </w:tr>
      <w:tr w:rsidR="00895BC5" w:rsidRPr="003B17C1" w14:paraId="552C2D4F" w14:textId="3D8E0FAF" w:rsidTr="00934758">
        <w:tc>
          <w:tcPr>
            <w:tcW w:w="5215" w:type="dxa"/>
            <w:vAlign w:val="center"/>
          </w:tcPr>
          <w:p w14:paraId="2F79B39D" w14:textId="266A0EBC" w:rsidR="00685B8C" w:rsidRDefault="00602F54" w:rsidP="00685B8C">
            <w:pPr>
              <w:rPr>
                <w:b/>
                <w:bCs/>
              </w:rPr>
            </w:pPr>
            <w:r>
              <w:rPr>
                <w:b/>
                <w:bCs/>
              </w:rPr>
              <w:t>L</w:t>
            </w:r>
            <w:r w:rsidR="00895BC5" w:rsidRPr="00685B8C">
              <w:rPr>
                <w:b/>
                <w:bCs/>
              </w:rPr>
              <w:t>ow dose X-Rays and non-CT or PET scans</w:t>
            </w:r>
          </w:p>
          <w:p w14:paraId="76211BD1" w14:textId="77777777" w:rsidR="00685B8C" w:rsidRPr="00685B8C" w:rsidRDefault="00685B8C" w:rsidP="00685B8C">
            <w:pPr>
              <w:rPr>
                <w:b/>
                <w:bCs/>
              </w:rPr>
            </w:pPr>
          </w:p>
          <w:p w14:paraId="61214A4C" w14:textId="52E464CE" w:rsidR="00685B8C" w:rsidRPr="003B17C1" w:rsidRDefault="00685B8C" w:rsidP="00685B8C">
            <w:r w:rsidRPr="00685B8C">
              <w:rPr>
                <w:i/>
                <w:iCs/>
              </w:rPr>
              <w:t>Examples:</w:t>
            </w:r>
            <w:r>
              <w:t xml:space="preserve"> </w:t>
            </w:r>
            <w:r w:rsidR="006F7451">
              <w:t xml:space="preserve">DEXA, </w:t>
            </w:r>
            <w:r>
              <w:t>Chest, extremity, dental, mammogram.</w:t>
            </w:r>
          </w:p>
        </w:tc>
        <w:tc>
          <w:tcPr>
            <w:tcW w:w="3775" w:type="dxa"/>
            <w:vAlign w:val="center"/>
          </w:tcPr>
          <w:p w14:paraId="660707C1" w14:textId="77777777" w:rsidR="00895BC5" w:rsidRDefault="00895BC5" w:rsidP="00685B8C">
            <w:bookmarkStart w:id="0" w:name="_Hlk165974822"/>
            <w:r w:rsidRPr="003B17C1">
              <w:t>If the convened IRB determine</w:t>
            </w:r>
            <w:r>
              <w:t>s</w:t>
            </w:r>
            <w:r w:rsidRPr="003B17C1">
              <w:t xml:space="preserve"> that the overall risk level of the study is NMTMR, </w:t>
            </w:r>
            <w:proofErr w:type="gramStart"/>
            <w:r w:rsidRPr="003B17C1">
              <w:t>may</w:t>
            </w:r>
            <w:proofErr w:type="gramEnd"/>
            <w:r w:rsidRPr="003B17C1">
              <w:t xml:space="preserve"> qualify for expedited review</w:t>
            </w:r>
            <w:r>
              <w:t xml:space="preserve"> in the future under expedited category 9. </w:t>
            </w:r>
          </w:p>
          <w:bookmarkEnd w:id="0"/>
          <w:p w14:paraId="0DFC84C5" w14:textId="05942504" w:rsidR="00895BC5" w:rsidRPr="003B17C1" w:rsidRDefault="00895BC5" w:rsidP="00685B8C"/>
        </w:tc>
      </w:tr>
      <w:tr w:rsidR="00895BC5" w:rsidRPr="003B17C1" w14:paraId="241CE3DA" w14:textId="5DEDC735" w:rsidTr="00934758">
        <w:tc>
          <w:tcPr>
            <w:tcW w:w="5215" w:type="dxa"/>
            <w:vAlign w:val="center"/>
          </w:tcPr>
          <w:p w14:paraId="417BFCD4" w14:textId="77777777" w:rsidR="00895BC5" w:rsidRPr="00685B8C" w:rsidRDefault="00895BC5" w:rsidP="00685B8C">
            <w:pPr>
              <w:rPr>
                <w:b/>
                <w:bCs/>
              </w:rPr>
            </w:pPr>
            <w:r w:rsidRPr="00685B8C">
              <w:rPr>
                <w:b/>
                <w:bCs/>
              </w:rPr>
              <w:t>Electromyography (EMG) (</w:t>
            </w:r>
            <w:r w:rsidR="00293700" w:rsidRPr="00685B8C">
              <w:rPr>
                <w:b/>
                <w:bCs/>
              </w:rPr>
              <w:t>intramuscular</w:t>
            </w:r>
            <w:r w:rsidRPr="00685B8C">
              <w:rPr>
                <w:b/>
                <w:bCs/>
              </w:rPr>
              <w:t>)</w:t>
            </w:r>
          </w:p>
          <w:p w14:paraId="10A38C17" w14:textId="77777777" w:rsidR="00685B8C" w:rsidRDefault="00685B8C" w:rsidP="00685B8C"/>
          <w:p w14:paraId="2A8AA65C" w14:textId="6D41F59E" w:rsidR="00685B8C" w:rsidRPr="003B17C1" w:rsidRDefault="00685B8C" w:rsidP="00685B8C">
            <w:r w:rsidRPr="00685B8C">
              <w:rPr>
                <w:i/>
                <w:iCs/>
              </w:rPr>
              <w:t>Examples:</w:t>
            </w:r>
            <w:r>
              <w:t xml:space="preserve"> the electrode is placed within the top layer of skin and the device’s power is limited to a level considered minimal risk. Intramuscular electrodes would be considered GTMR.</w:t>
            </w:r>
          </w:p>
        </w:tc>
        <w:tc>
          <w:tcPr>
            <w:tcW w:w="3775" w:type="dxa"/>
            <w:vAlign w:val="center"/>
          </w:tcPr>
          <w:p w14:paraId="59C6D02D" w14:textId="77777777" w:rsidR="00895BC5" w:rsidRDefault="00895BC5" w:rsidP="00685B8C">
            <w:r w:rsidRPr="003B17C1">
              <w:t>If the convened IRB determine</w:t>
            </w:r>
            <w:r>
              <w:t>s</w:t>
            </w:r>
            <w:r w:rsidRPr="003B17C1">
              <w:t xml:space="preserve"> that the overall risk level of the study is NMTMR, </w:t>
            </w:r>
            <w:proofErr w:type="gramStart"/>
            <w:r w:rsidRPr="003B17C1">
              <w:t>may</w:t>
            </w:r>
            <w:proofErr w:type="gramEnd"/>
            <w:r w:rsidRPr="003B17C1">
              <w:t xml:space="preserve"> qualify for expedited review</w:t>
            </w:r>
            <w:r>
              <w:t xml:space="preserve"> in the future under expedited category 9. </w:t>
            </w:r>
          </w:p>
          <w:p w14:paraId="06002F1F" w14:textId="16788F22" w:rsidR="00895BC5" w:rsidRPr="003B17C1" w:rsidRDefault="00895BC5" w:rsidP="00685B8C"/>
        </w:tc>
      </w:tr>
      <w:tr w:rsidR="00895BC5" w:rsidRPr="003B17C1" w14:paraId="62F9AC24" w14:textId="0D6B13B8" w:rsidTr="00934758">
        <w:tc>
          <w:tcPr>
            <w:tcW w:w="5215" w:type="dxa"/>
            <w:vAlign w:val="center"/>
          </w:tcPr>
          <w:p w14:paraId="6C5DBBC7" w14:textId="77777777" w:rsidR="00895BC5" w:rsidRPr="00685B8C" w:rsidRDefault="00895BC5" w:rsidP="00685B8C">
            <w:pPr>
              <w:rPr>
                <w:b/>
                <w:bCs/>
              </w:rPr>
            </w:pPr>
            <w:r w:rsidRPr="00685B8C">
              <w:rPr>
                <w:b/>
                <w:bCs/>
              </w:rPr>
              <w:t>Magnetic resonance imaging (MRI) utilizing contrast agent</w:t>
            </w:r>
          </w:p>
        </w:tc>
        <w:tc>
          <w:tcPr>
            <w:tcW w:w="3775" w:type="dxa"/>
            <w:vAlign w:val="center"/>
          </w:tcPr>
          <w:p w14:paraId="5FE037F5" w14:textId="7E9E4E74" w:rsidR="00895BC5" w:rsidRPr="003B17C1" w:rsidRDefault="00895BC5" w:rsidP="00685B8C">
            <w:r>
              <w:t>Must remain under full board review; considered GMTR</w:t>
            </w:r>
          </w:p>
        </w:tc>
      </w:tr>
      <w:tr w:rsidR="00895BC5" w:rsidRPr="003B17C1" w14:paraId="042B197F" w14:textId="37CFA219" w:rsidTr="00934758">
        <w:tc>
          <w:tcPr>
            <w:tcW w:w="5215" w:type="dxa"/>
            <w:vAlign w:val="center"/>
          </w:tcPr>
          <w:p w14:paraId="6FD9EC27" w14:textId="77777777" w:rsidR="00895BC5" w:rsidRPr="00685B8C" w:rsidRDefault="00895BC5" w:rsidP="00685B8C">
            <w:pPr>
              <w:rPr>
                <w:b/>
                <w:bCs/>
              </w:rPr>
            </w:pPr>
            <w:r w:rsidRPr="00685B8C">
              <w:rPr>
                <w:b/>
                <w:bCs/>
              </w:rPr>
              <w:t>Nasal swabs that go beyond the nares</w:t>
            </w:r>
          </w:p>
          <w:p w14:paraId="1F4DBBD2" w14:textId="4E0EE273" w:rsidR="00895BC5" w:rsidRPr="003B17C1" w:rsidRDefault="00895BC5" w:rsidP="00685B8C">
            <w:r w:rsidRPr="00685B8C">
              <w:rPr>
                <w:i/>
                <w:iCs/>
              </w:rPr>
              <w:t>Example</w:t>
            </w:r>
            <w:r w:rsidRPr="00AC3E42">
              <w:t>: nasopharyngeal swab</w:t>
            </w:r>
          </w:p>
        </w:tc>
        <w:tc>
          <w:tcPr>
            <w:tcW w:w="3775" w:type="dxa"/>
            <w:vAlign w:val="center"/>
          </w:tcPr>
          <w:p w14:paraId="338A68BB" w14:textId="3F11CE30" w:rsidR="00895BC5" w:rsidRPr="003B17C1" w:rsidRDefault="00895BC5" w:rsidP="00685B8C">
            <w:r w:rsidRPr="00895BC5">
              <w:t xml:space="preserve">If the convened IRB determines that the overall risk level of the study is </w:t>
            </w:r>
            <w:r w:rsidRPr="00895BC5">
              <w:lastRenderedPageBreak/>
              <w:t xml:space="preserve">NMTMR, </w:t>
            </w:r>
            <w:proofErr w:type="gramStart"/>
            <w:r w:rsidRPr="00895BC5">
              <w:t>may</w:t>
            </w:r>
            <w:proofErr w:type="gramEnd"/>
            <w:r w:rsidRPr="00895BC5">
              <w:t xml:space="preserve"> qualify for expedited review in the future under expedited category 9. </w:t>
            </w:r>
          </w:p>
        </w:tc>
      </w:tr>
      <w:tr w:rsidR="00895BC5" w:rsidRPr="003B17C1" w14:paraId="67FE3C9F" w14:textId="5FE0AAFE" w:rsidTr="00934758">
        <w:tc>
          <w:tcPr>
            <w:tcW w:w="5215" w:type="dxa"/>
            <w:vAlign w:val="center"/>
          </w:tcPr>
          <w:p w14:paraId="047DC514" w14:textId="1E01BA58" w:rsidR="00895BC5" w:rsidRPr="003B17C1" w:rsidRDefault="00895BC5" w:rsidP="00685B8C">
            <w:r w:rsidRPr="00685B8C">
              <w:rPr>
                <w:b/>
                <w:bCs/>
              </w:rPr>
              <w:lastRenderedPageBreak/>
              <w:t>Other data collection via methods that introduce “</w:t>
            </w:r>
            <w:proofErr w:type="gramStart"/>
            <w:r w:rsidRPr="00685B8C">
              <w:rPr>
                <w:b/>
                <w:bCs/>
              </w:rPr>
              <w:t>significant”  energy</w:t>
            </w:r>
            <w:proofErr w:type="gramEnd"/>
            <w:r w:rsidRPr="00685B8C">
              <w:rPr>
                <w:b/>
                <w:bCs/>
              </w:rPr>
              <w:t xml:space="preserve"> into the body</w:t>
            </w:r>
            <w:r>
              <w:t>, where “significant” is defined as more than what is involved in routine physical or psychological examinations or tests.</w:t>
            </w:r>
          </w:p>
        </w:tc>
        <w:tc>
          <w:tcPr>
            <w:tcW w:w="3775" w:type="dxa"/>
            <w:vAlign w:val="center"/>
          </w:tcPr>
          <w:p w14:paraId="490CC30A" w14:textId="0DF6BB13" w:rsidR="00895BC5" w:rsidRPr="003B17C1" w:rsidRDefault="00895BC5" w:rsidP="00685B8C">
            <w:r w:rsidRPr="00895BC5">
              <w:t xml:space="preserve">If the convened IRB determines that the overall risk level of the study is NMTMR, </w:t>
            </w:r>
            <w:proofErr w:type="gramStart"/>
            <w:r w:rsidRPr="00895BC5">
              <w:t>may</w:t>
            </w:r>
            <w:proofErr w:type="gramEnd"/>
            <w:r w:rsidRPr="00895BC5">
              <w:t xml:space="preserve"> qualify for expedited review in the future under expedited category 9. </w:t>
            </w:r>
          </w:p>
        </w:tc>
      </w:tr>
      <w:tr w:rsidR="00A8432C" w:rsidRPr="003B17C1" w14:paraId="5EAAD019" w14:textId="77777777" w:rsidTr="00934758">
        <w:tc>
          <w:tcPr>
            <w:tcW w:w="5215" w:type="dxa"/>
            <w:vAlign w:val="center"/>
          </w:tcPr>
          <w:p w14:paraId="19F9C322" w14:textId="661C5AA9" w:rsidR="00A8432C" w:rsidRPr="00685B8C" w:rsidRDefault="00A8432C" w:rsidP="00685B8C">
            <w:pPr>
              <w:rPr>
                <w:b/>
                <w:bCs/>
              </w:rPr>
            </w:pPr>
            <w:r>
              <w:rPr>
                <w:b/>
                <w:bCs/>
              </w:rPr>
              <w:t>Oral Glucose Testing</w:t>
            </w:r>
          </w:p>
        </w:tc>
        <w:tc>
          <w:tcPr>
            <w:tcW w:w="3775" w:type="dxa"/>
            <w:vAlign w:val="center"/>
          </w:tcPr>
          <w:p w14:paraId="680DCA56" w14:textId="77777777" w:rsidR="009622A8" w:rsidRDefault="009622A8" w:rsidP="009622A8">
            <w:r w:rsidRPr="003B17C1">
              <w:t>If the convened IRB determine</w:t>
            </w:r>
            <w:r>
              <w:t>s</w:t>
            </w:r>
            <w:r w:rsidRPr="003B17C1">
              <w:t xml:space="preserve"> that the overall risk level of the study is NMTMR, </w:t>
            </w:r>
            <w:proofErr w:type="gramStart"/>
            <w:r w:rsidRPr="003B17C1">
              <w:t>may</w:t>
            </w:r>
            <w:proofErr w:type="gramEnd"/>
            <w:r w:rsidRPr="003B17C1">
              <w:t xml:space="preserve"> qualify for expedited review</w:t>
            </w:r>
            <w:r>
              <w:t xml:space="preserve"> in the future under expedited category 9. </w:t>
            </w:r>
          </w:p>
          <w:p w14:paraId="1DBFB5B6" w14:textId="77777777" w:rsidR="00A8432C" w:rsidRPr="00806212" w:rsidRDefault="00A8432C" w:rsidP="00685B8C"/>
        </w:tc>
      </w:tr>
      <w:tr w:rsidR="00895BC5" w:rsidRPr="003B17C1" w14:paraId="57B4B720" w14:textId="2F6E9139" w:rsidTr="00934758">
        <w:tc>
          <w:tcPr>
            <w:tcW w:w="5215" w:type="dxa"/>
            <w:vAlign w:val="center"/>
          </w:tcPr>
          <w:p w14:paraId="48B15FCA" w14:textId="4D739108" w:rsidR="00895BC5" w:rsidRPr="00685B8C" w:rsidRDefault="00895BC5" w:rsidP="00685B8C">
            <w:pPr>
              <w:rPr>
                <w:b/>
                <w:bCs/>
              </w:rPr>
            </w:pPr>
            <w:r w:rsidRPr="00685B8C">
              <w:rPr>
                <w:b/>
                <w:bCs/>
              </w:rPr>
              <w:t xml:space="preserve">Randomized </w:t>
            </w:r>
            <w:r w:rsidR="0068502E" w:rsidRPr="00685B8C">
              <w:rPr>
                <w:b/>
                <w:bCs/>
              </w:rPr>
              <w:t xml:space="preserve">drug or device </w:t>
            </w:r>
            <w:r w:rsidRPr="00685B8C">
              <w:rPr>
                <w:b/>
                <w:bCs/>
              </w:rPr>
              <w:t>studies</w:t>
            </w:r>
            <w:r w:rsidR="00806212" w:rsidRPr="00685B8C">
              <w:rPr>
                <w:b/>
                <w:bCs/>
              </w:rPr>
              <w:t xml:space="preserve"> even if it is a comparison of two SoC treatments</w:t>
            </w:r>
            <w:r w:rsidR="0068502E" w:rsidRPr="00685B8C">
              <w:rPr>
                <w:b/>
                <w:bCs/>
              </w:rPr>
              <w:t xml:space="preserve"> </w:t>
            </w:r>
          </w:p>
        </w:tc>
        <w:tc>
          <w:tcPr>
            <w:tcW w:w="3775" w:type="dxa"/>
            <w:vAlign w:val="center"/>
          </w:tcPr>
          <w:p w14:paraId="1CC07693" w14:textId="77777777" w:rsidR="00806212" w:rsidRPr="00806212" w:rsidRDefault="00806212" w:rsidP="00685B8C">
            <w:r w:rsidRPr="00806212">
              <w:t xml:space="preserve">If the convened IRB determines that the overall risk level of the study is NMTMR, </w:t>
            </w:r>
            <w:proofErr w:type="gramStart"/>
            <w:r w:rsidRPr="00806212">
              <w:t>may</w:t>
            </w:r>
            <w:proofErr w:type="gramEnd"/>
            <w:r w:rsidRPr="00806212">
              <w:t xml:space="preserve"> qualify for expedited review in the future under expedited category 9. </w:t>
            </w:r>
          </w:p>
          <w:p w14:paraId="3FC61658" w14:textId="10671FC0" w:rsidR="00895BC5" w:rsidRPr="00806212" w:rsidRDefault="00895BC5" w:rsidP="00685B8C"/>
        </w:tc>
      </w:tr>
      <w:tr w:rsidR="00895BC5" w:rsidRPr="003B17C1" w14:paraId="62B0681F" w14:textId="2D53F141" w:rsidTr="00934758">
        <w:tc>
          <w:tcPr>
            <w:tcW w:w="5215" w:type="dxa"/>
            <w:vAlign w:val="center"/>
          </w:tcPr>
          <w:p w14:paraId="4AE2324C" w14:textId="76A6E973" w:rsidR="00895BC5" w:rsidRPr="003B17C1" w:rsidRDefault="00895BC5" w:rsidP="00685B8C">
            <w:r w:rsidRPr="00685B8C">
              <w:rPr>
                <w:b/>
                <w:bCs/>
              </w:rPr>
              <w:t>Rectal swabs</w:t>
            </w:r>
            <w:r w:rsidR="00901E1A">
              <w:rPr>
                <w:b/>
                <w:bCs/>
              </w:rPr>
              <w:t>/instrument</w:t>
            </w:r>
            <w:r w:rsidRPr="003B17C1">
              <w:t xml:space="preserve"> that go beyond the rectum</w:t>
            </w:r>
            <w:r w:rsidR="001D21EC">
              <w:t xml:space="preserve"> </w:t>
            </w:r>
          </w:p>
        </w:tc>
        <w:tc>
          <w:tcPr>
            <w:tcW w:w="3775" w:type="dxa"/>
            <w:vAlign w:val="center"/>
          </w:tcPr>
          <w:p w14:paraId="085B28CD" w14:textId="07EBF719" w:rsidR="00895BC5" w:rsidRPr="003B17C1" w:rsidRDefault="001D21EC" w:rsidP="00685B8C">
            <w:r w:rsidRPr="001D21EC">
              <w:t>Must remain under full board review; considered GMTR</w:t>
            </w:r>
            <w:r w:rsidRPr="001D21EC" w:rsidDel="00806212">
              <w:t xml:space="preserve"> </w:t>
            </w:r>
          </w:p>
        </w:tc>
      </w:tr>
      <w:tr w:rsidR="000D54A7" w:rsidRPr="003B17C1" w14:paraId="67F0A90F" w14:textId="77777777" w:rsidTr="00934758">
        <w:tc>
          <w:tcPr>
            <w:tcW w:w="5215" w:type="dxa"/>
            <w:vAlign w:val="center"/>
          </w:tcPr>
          <w:p w14:paraId="7FD0E626" w14:textId="7171CFAB" w:rsidR="000D54A7" w:rsidRPr="00685B8C" w:rsidRDefault="000D54A7" w:rsidP="00685B8C">
            <w:pPr>
              <w:rPr>
                <w:b/>
                <w:bCs/>
              </w:rPr>
            </w:pPr>
            <w:r w:rsidRPr="000D54A7">
              <w:rPr>
                <w:b/>
                <w:bCs/>
              </w:rPr>
              <w:t>Transcranial Magnetic Stimulation (TMS)</w:t>
            </w:r>
          </w:p>
        </w:tc>
        <w:tc>
          <w:tcPr>
            <w:tcW w:w="3775" w:type="dxa"/>
            <w:vAlign w:val="center"/>
          </w:tcPr>
          <w:p w14:paraId="0C1A4C60" w14:textId="7D437F5D" w:rsidR="000D54A7" w:rsidRPr="001D21EC" w:rsidRDefault="000D54A7" w:rsidP="00685B8C">
            <w:r w:rsidRPr="000D54A7">
              <w:t xml:space="preserve">Evaluation of TMS for safety and/or effectiveness requires </w:t>
            </w:r>
            <w:proofErr w:type="gramStart"/>
            <w:r w:rsidRPr="000D54A7">
              <w:t>a Non</w:t>
            </w:r>
            <w:proofErr w:type="gramEnd"/>
            <w:r w:rsidRPr="000D54A7">
              <w:t>-Significant Risk Determination</w:t>
            </w:r>
            <w:r w:rsidR="009622A8">
              <w:t>. A</w:t>
            </w:r>
            <w:r w:rsidRPr="000D54A7">
              <w:t xml:space="preserve">ll studies using TMS must remain under full board review; </w:t>
            </w:r>
            <w:proofErr w:type="gramStart"/>
            <w:r w:rsidRPr="000D54A7">
              <w:t>considered</w:t>
            </w:r>
            <w:proofErr w:type="gramEnd"/>
            <w:r w:rsidRPr="000D54A7">
              <w:t xml:space="preserve"> GTMR.</w:t>
            </w:r>
          </w:p>
        </w:tc>
      </w:tr>
      <w:tr w:rsidR="006F7451" w:rsidRPr="003B17C1" w14:paraId="11EB9172" w14:textId="77777777" w:rsidTr="00934758">
        <w:tc>
          <w:tcPr>
            <w:tcW w:w="5215" w:type="dxa"/>
            <w:vAlign w:val="center"/>
          </w:tcPr>
          <w:p w14:paraId="0D87086C" w14:textId="546B1229" w:rsidR="006F7451" w:rsidRDefault="006F7451" w:rsidP="00685B8C">
            <w:pPr>
              <w:rPr>
                <w:b/>
                <w:bCs/>
              </w:rPr>
            </w:pPr>
            <w:r>
              <w:rPr>
                <w:b/>
                <w:bCs/>
              </w:rPr>
              <w:t>Transcutaneous Electrical Nerve Stimulation (TENS)</w:t>
            </w:r>
          </w:p>
          <w:p w14:paraId="187A8D69" w14:textId="77777777" w:rsidR="006F7451" w:rsidRPr="000D54A7" w:rsidRDefault="006F7451" w:rsidP="00685B8C">
            <w:pPr>
              <w:rPr>
                <w:b/>
                <w:bCs/>
              </w:rPr>
            </w:pPr>
          </w:p>
        </w:tc>
        <w:tc>
          <w:tcPr>
            <w:tcW w:w="3775" w:type="dxa"/>
            <w:vAlign w:val="center"/>
          </w:tcPr>
          <w:p w14:paraId="39D2E22B" w14:textId="77777777" w:rsidR="001841B1" w:rsidRPr="001841B1" w:rsidRDefault="001841B1" w:rsidP="001841B1">
            <w:r w:rsidRPr="001841B1">
              <w:t xml:space="preserve">If the convened IRB determines that the overall risk level of the study is NMTMR, </w:t>
            </w:r>
            <w:proofErr w:type="gramStart"/>
            <w:r w:rsidRPr="001841B1">
              <w:t>may</w:t>
            </w:r>
            <w:proofErr w:type="gramEnd"/>
            <w:r w:rsidRPr="001841B1">
              <w:t xml:space="preserve"> qualify for expedited review in the future under expedited category 9. </w:t>
            </w:r>
          </w:p>
          <w:p w14:paraId="308FA64C" w14:textId="6EEB5880" w:rsidR="006F7451" w:rsidRPr="000D54A7" w:rsidRDefault="006F7451" w:rsidP="00685B8C"/>
        </w:tc>
      </w:tr>
      <w:tr w:rsidR="00685B8C" w:rsidRPr="003B17C1" w14:paraId="50D8A41C" w14:textId="77777777" w:rsidTr="00934758">
        <w:tc>
          <w:tcPr>
            <w:tcW w:w="5215" w:type="dxa"/>
            <w:vAlign w:val="center"/>
          </w:tcPr>
          <w:p w14:paraId="34F1C956" w14:textId="7989D5CA" w:rsidR="00685B8C" w:rsidRPr="00685B8C" w:rsidRDefault="00685B8C" w:rsidP="00685B8C">
            <w:pPr>
              <w:rPr>
                <w:b/>
                <w:bCs/>
              </w:rPr>
            </w:pPr>
            <w:r w:rsidRPr="005D7B68">
              <w:rPr>
                <w:b/>
                <w:bCs/>
                <w:color w:val="000000"/>
              </w:rPr>
              <w:t>Vaginal swabs</w:t>
            </w:r>
            <w:r w:rsidR="00901E1A">
              <w:rPr>
                <w:b/>
                <w:bCs/>
                <w:color w:val="000000"/>
              </w:rPr>
              <w:t>/instrument</w:t>
            </w:r>
            <w:r>
              <w:rPr>
                <w:color w:val="000000"/>
              </w:rPr>
              <w:t xml:space="preserve"> that go beyond the cervi</w:t>
            </w:r>
            <w:r w:rsidR="00901E1A">
              <w:rPr>
                <w:color w:val="000000"/>
              </w:rPr>
              <w:t>x and into the uterus</w:t>
            </w:r>
          </w:p>
        </w:tc>
        <w:tc>
          <w:tcPr>
            <w:tcW w:w="3775" w:type="dxa"/>
            <w:vAlign w:val="center"/>
          </w:tcPr>
          <w:p w14:paraId="3AC5C9B9" w14:textId="4CF8BB7D" w:rsidR="00685B8C" w:rsidRPr="001D21EC" w:rsidRDefault="00685B8C" w:rsidP="00685B8C">
            <w:r>
              <w:rPr>
                <w:color w:val="000000"/>
              </w:rPr>
              <w:t>Must remain under full board review; considered GMTR</w:t>
            </w:r>
          </w:p>
        </w:tc>
      </w:tr>
    </w:tbl>
    <w:p w14:paraId="593F83E7" w14:textId="77777777" w:rsidR="000663D7" w:rsidRDefault="000663D7" w:rsidP="000663D7"/>
    <w:p w14:paraId="6B93AD82" w14:textId="498E0D69" w:rsidR="000663D7" w:rsidRPr="00602F54" w:rsidRDefault="000663D7" w:rsidP="00602F54">
      <w:pPr>
        <w:pStyle w:val="Heading1"/>
      </w:pPr>
      <w:r w:rsidRPr="00602F54">
        <w:t>Expedited Review</w:t>
      </w:r>
    </w:p>
    <w:p w14:paraId="378A6931" w14:textId="1DC6AD61" w:rsidR="000663D7" w:rsidRDefault="000663D7" w:rsidP="000663D7">
      <w:r>
        <w:t>These types of studies only involve minimal risk to subjects and fit into one or more of the specific Expedited review categories. This type of research does not require review by the full</w:t>
      </w:r>
      <w:r w:rsidR="00806212">
        <w:t>y</w:t>
      </w:r>
      <w:r>
        <w:t xml:space="preserve"> convened IRB. The IRB review is conducted by the IRB </w:t>
      </w:r>
      <w:r w:rsidR="00B965B0">
        <w:t>Chair,</w:t>
      </w:r>
      <w:r>
        <w:t xml:space="preserve"> or one or more experienced reviewers designated from among the members of the IRB.</w:t>
      </w:r>
    </w:p>
    <w:p w14:paraId="53F24F4C" w14:textId="0CE9551A" w:rsidR="000663D7" w:rsidRPr="00602F54" w:rsidRDefault="000663D7" w:rsidP="00602F54">
      <w:pPr>
        <w:pStyle w:val="Heading2"/>
      </w:pPr>
      <w:r w:rsidRPr="00602F54">
        <w:t xml:space="preserve">Category 1: Approved drug or device being used for its approved </w:t>
      </w:r>
      <w:r w:rsidR="005E47FF" w:rsidRPr="00602F54">
        <w:t>indication.</w:t>
      </w:r>
    </w:p>
    <w:p w14:paraId="70413629" w14:textId="682AD15B" w:rsidR="00806212" w:rsidRDefault="000663D7" w:rsidP="001D21EC">
      <w:pPr>
        <w:pStyle w:val="ListParagraph"/>
        <w:numPr>
          <w:ilvl w:val="0"/>
          <w:numId w:val="7"/>
        </w:numPr>
      </w:pPr>
      <w: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238E58EF" w14:textId="4DAE8924" w:rsidR="000663D7" w:rsidRDefault="000663D7" w:rsidP="001D21EC">
      <w:pPr>
        <w:pStyle w:val="ListParagraph"/>
        <w:numPr>
          <w:ilvl w:val="0"/>
          <w:numId w:val="7"/>
        </w:numPr>
      </w:pPr>
      <w:r>
        <w:t>Research on medical devices for which</w:t>
      </w:r>
    </w:p>
    <w:p w14:paraId="26F6946E" w14:textId="3BD0184C" w:rsidR="000663D7" w:rsidRDefault="000663D7" w:rsidP="001D21EC">
      <w:pPr>
        <w:pStyle w:val="ListParagraph"/>
        <w:numPr>
          <w:ilvl w:val="0"/>
          <w:numId w:val="8"/>
        </w:numPr>
      </w:pPr>
      <w:r>
        <w:t>an investigational device exemption application (21 CFR Part 812) is not required; or</w:t>
      </w:r>
    </w:p>
    <w:p w14:paraId="5CA8FE00" w14:textId="3940FCDE" w:rsidR="000663D7" w:rsidRDefault="000663D7" w:rsidP="001D21EC">
      <w:pPr>
        <w:pStyle w:val="ListParagraph"/>
        <w:numPr>
          <w:ilvl w:val="0"/>
          <w:numId w:val="8"/>
        </w:numPr>
      </w:pPr>
      <w:proofErr w:type="gramStart"/>
      <w:r>
        <w:t>the</w:t>
      </w:r>
      <w:proofErr w:type="gramEnd"/>
      <w:r>
        <w:t xml:space="preserve"> medical device is cleared/approved for </w:t>
      </w:r>
      <w:proofErr w:type="gramStart"/>
      <w:r>
        <w:t>marketing</w:t>
      </w:r>
      <w:proofErr w:type="gramEnd"/>
      <w:r>
        <w:t xml:space="preserve"> and the medical device is being used in accordance with its cleared/approved labeling.</w:t>
      </w:r>
    </w:p>
    <w:p w14:paraId="5F8DB265" w14:textId="77777777" w:rsidR="000663D7" w:rsidRDefault="000663D7" w:rsidP="000663D7">
      <w:r w:rsidRPr="001D21EC">
        <w:rPr>
          <w:b/>
          <w:bCs/>
        </w:rPr>
        <w:t>Note:</w:t>
      </w:r>
      <w:r>
        <w:t xml:space="preserve"> The drug or device must be approved and used exactly according to its labeling. All study procedures other than use of the drug or device must themselves be of minimal risk for the study to qualify for expedited review.</w:t>
      </w:r>
    </w:p>
    <w:p w14:paraId="0CCBBC2B" w14:textId="7D13EA1A" w:rsidR="000663D7" w:rsidRPr="00602F54" w:rsidRDefault="000663D7" w:rsidP="00602F54">
      <w:pPr>
        <w:pStyle w:val="Heading2"/>
      </w:pPr>
      <w:r w:rsidRPr="00602F54">
        <w:t>Category 2: Blood Collection</w:t>
      </w:r>
      <w:r w:rsidRPr="00602F54">
        <w:tab/>
      </w:r>
    </w:p>
    <w:p w14:paraId="01BBA3F7" w14:textId="77777777" w:rsidR="000663D7" w:rsidRPr="00806212" w:rsidRDefault="000663D7" w:rsidP="000663D7">
      <w:r>
        <w:t>Collection of blood samples by finger stick, heel stick, ear stick, or venipuncture as follows:</w:t>
      </w:r>
    </w:p>
    <w:p w14:paraId="7A66A1AE" w14:textId="2C7FE2EC" w:rsidR="00806212" w:rsidRPr="001D21EC" w:rsidRDefault="000663D7" w:rsidP="001D21EC">
      <w:pPr>
        <w:pStyle w:val="ListParagraph"/>
        <w:numPr>
          <w:ilvl w:val="0"/>
          <w:numId w:val="6"/>
        </w:numPr>
        <w:rPr>
          <w:b/>
          <w:bCs/>
        </w:rPr>
      </w:pPr>
      <w:r w:rsidRPr="00806212">
        <w:t>fro</w:t>
      </w:r>
      <w:r>
        <w:t xml:space="preserve">m healthy, nonpregnant adults who weigh at least 110 pounds. For these subjects, the amounts drawn may not exceed 550 ml in an 8-week period and collection may not occur more frequently than 2 times per week; </w:t>
      </w:r>
      <w:r w:rsidRPr="001D21EC">
        <w:rPr>
          <w:b/>
          <w:bCs/>
        </w:rPr>
        <w:t>or</w:t>
      </w:r>
    </w:p>
    <w:p w14:paraId="53943C2E" w14:textId="4131401E" w:rsidR="000663D7" w:rsidRDefault="000663D7" w:rsidP="001D21EC">
      <w:pPr>
        <w:pStyle w:val="ListParagraph"/>
        <w:numPr>
          <w:ilvl w:val="0"/>
          <w:numId w:val="6"/>
        </w:numPr>
      </w:pPr>
      <w:r>
        <w:t>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8-week period and collection may not occur more frequently than 2 times per week.</w:t>
      </w:r>
    </w:p>
    <w:p w14:paraId="78D59257" w14:textId="68A2D897" w:rsidR="000663D7" w:rsidRDefault="000663D7" w:rsidP="000663D7">
      <w:r w:rsidRPr="001D21EC">
        <w:rPr>
          <w:b/>
          <w:bCs/>
        </w:rPr>
        <w:t>Note:</w:t>
      </w:r>
      <w:r>
        <w:t xml:space="preserve"> Determine if blood is drawn via indwelling catheter, since that may will impact assessment of “Frequency</w:t>
      </w:r>
      <w:r w:rsidR="00806212">
        <w:t>.</w:t>
      </w:r>
      <w:r>
        <w:t>”</w:t>
      </w:r>
      <w:r w:rsidR="00806212">
        <w:t xml:space="preserve"> Ensure this information is included in the protocol.</w:t>
      </w:r>
    </w:p>
    <w:p w14:paraId="4996735C" w14:textId="430E380A" w:rsidR="000663D7" w:rsidRDefault="000663D7" w:rsidP="00602F54">
      <w:pPr>
        <w:pStyle w:val="Heading2"/>
      </w:pPr>
      <w:r>
        <w:t>Category 3: Noninvasive specimen collection</w:t>
      </w:r>
    </w:p>
    <w:p w14:paraId="0F6D78F9" w14:textId="6049C300" w:rsidR="000663D7" w:rsidRDefault="000663D7" w:rsidP="000663D7">
      <w:r>
        <w:t>Prospective collection of biological specimens for research purposes by noninvasive means.</w:t>
      </w:r>
    </w:p>
    <w:p w14:paraId="5E30DED1" w14:textId="77777777" w:rsidR="000663D7" w:rsidRPr="001D21EC" w:rsidRDefault="000663D7" w:rsidP="000663D7">
      <w:pPr>
        <w:rPr>
          <w:b/>
          <w:bCs/>
          <w:u w:val="single"/>
        </w:rPr>
      </w:pPr>
      <w:r w:rsidRPr="001D21EC">
        <w:rPr>
          <w:b/>
          <w:bCs/>
          <w:u w:val="single"/>
        </w:rPr>
        <w:t>Examples:</w:t>
      </w:r>
    </w:p>
    <w:p w14:paraId="76C0D2E6" w14:textId="4392AC3A" w:rsidR="00806212" w:rsidRDefault="000663D7" w:rsidP="000663D7">
      <w:pPr>
        <w:pStyle w:val="ListParagraph"/>
        <w:numPr>
          <w:ilvl w:val="0"/>
          <w:numId w:val="4"/>
        </w:numPr>
      </w:pPr>
      <w:r>
        <w:t>Hair and nail clippings in a non-disfiguring manner</w:t>
      </w:r>
    </w:p>
    <w:p w14:paraId="79CE013B" w14:textId="6CE607BB" w:rsidR="00806212" w:rsidRDefault="000663D7" w:rsidP="001D21EC">
      <w:pPr>
        <w:pStyle w:val="ListParagraph"/>
        <w:numPr>
          <w:ilvl w:val="0"/>
          <w:numId w:val="4"/>
        </w:numPr>
      </w:pPr>
      <w:r>
        <w:t>Deciduous teeth at time of exfoliation or if routine patient care indicates a need for extraction</w:t>
      </w:r>
    </w:p>
    <w:p w14:paraId="36E697EE" w14:textId="1B678BB1" w:rsidR="00806212" w:rsidRDefault="000663D7" w:rsidP="001D21EC">
      <w:pPr>
        <w:pStyle w:val="ListParagraph"/>
        <w:numPr>
          <w:ilvl w:val="0"/>
          <w:numId w:val="4"/>
        </w:numPr>
      </w:pPr>
      <w:r>
        <w:t>Permanent teeth if routine patient care indicates a need for extraction</w:t>
      </w:r>
    </w:p>
    <w:p w14:paraId="7973D64B" w14:textId="75B75CDE" w:rsidR="00806212" w:rsidRDefault="000663D7" w:rsidP="001D21EC">
      <w:pPr>
        <w:pStyle w:val="ListParagraph"/>
        <w:numPr>
          <w:ilvl w:val="0"/>
          <w:numId w:val="4"/>
        </w:numPr>
      </w:pPr>
      <w:r>
        <w:t>Excreta and external secretions (including sweat)</w:t>
      </w:r>
    </w:p>
    <w:p w14:paraId="23682ADE" w14:textId="477BFE03" w:rsidR="00806212" w:rsidRDefault="000663D7" w:rsidP="001D21EC">
      <w:pPr>
        <w:pStyle w:val="ListParagraph"/>
        <w:numPr>
          <w:ilvl w:val="0"/>
          <w:numId w:val="4"/>
        </w:numPr>
      </w:pPr>
      <w:proofErr w:type="spellStart"/>
      <w:r>
        <w:t>Uncannulated</w:t>
      </w:r>
      <w:proofErr w:type="spellEnd"/>
      <w:r>
        <w:t xml:space="preserve"> saliva collected either in an unstimulated fashion or stimulated by chewing </w:t>
      </w:r>
      <w:proofErr w:type="spellStart"/>
      <w:r>
        <w:t>gumbase</w:t>
      </w:r>
      <w:proofErr w:type="spellEnd"/>
      <w:r>
        <w:t xml:space="preserve"> or wax or by applying a dilute citric solution to the tongue</w:t>
      </w:r>
    </w:p>
    <w:p w14:paraId="660918A2" w14:textId="29BBAA3F" w:rsidR="00806212" w:rsidRDefault="000663D7" w:rsidP="001D21EC">
      <w:pPr>
        <w:pStyle w:val="ListParagraph"/>
        <w:numPr>
          <w:ilvl w:val="0"/>
          <w:numId w:val="4"/>
        </w:numPr>
      </w:pPr>
      <w:r>
        <w:t>Placenta removed at delivery</w:t>
      </w:r>
    </w:p>
    <w:p w14:paraId="76E4BB04" w14:textId="3737DBCC" w:rsidR="00806212" w:rsidRDefault="000663D7" w:rsidP="001D21EC">
      <w:pPr>
        <w:pStyle w:val="ListParagraph"/>
        <w:numPr>
          <w:ilvl w:val="0"/>
          <w:numId w:val="4"/>
        </w:numPr>
      </w:pPr>
      <w:r>
        <w:t>Amniotic fluid obtained at the time of rupture of the membrane prior to or during labor</w:t>
      </w:r>
    </w:p>
    <w:p w14:paraId="05F56210" w14:textId="2F736A12" w:rsidR="00806212" w:rsidRDefault="000663D7" w:rsidP="001D21EC">
      <w:pPr>
        <w:pStyle w:val="ListParagraph"/>
        <w:numPr>
          <w:ilvl w:val="0"/>
          <w:numId w:val="4"/>
        </w:numPr>
      </w:pPr>
      <w:r>
        <w:t>Supra- and subgingival dental plaque and calculus, provided the collection procedure is not more invasive than routine prophylactic scaling of the teeth and the process is accomplished in accordance with accepted prophylactic techniques</w:t>
      </w:r>
    </w:p>
    <w:p w14:paraId="662DCA84" w14:textId="4A979A5A" w:rsidR="00806212" w:rsidRDefault="000663D7" w:rsidP="001D21EC">
      <w:pPr>
        <w:pStyle w:val="ListParagraph"/>
        <w:numPr>
          <w:ilvl w:val="0"/>
          <w:numId w:val="4"/>
        </w:numPr>
      </w:pPr>
      <w:r>
        <w:t>Mucosal and skin cells collected by buccal scraping or swab, skin swab, or mouth washings</w:t>
      </w:r>
    </w:p>
    <w:p w14:paraId="5CF41C8C" w14:textId="35094217" w:rsidR="000663D7" w:rsidRDefault="000663D7" w:rsidP="001D21EC">
      <w:pPr>
        <w:pStyle w:val="ListParagraph"/>
        <w:numPr>
          <w:ilvl w:val="0"/>
          <w:numId w:val="4"/>
        </w:numPr>
      </w:pPr>
      <w:r>
        <w:t>Sputum collected after saline mist nebulization.</w:t>
      </w:r>
    </w:p>
    <w:p w14:paraId="11358BF0" w14:textId="394EBCD7" w:rsidR="00806212" w:rsidRDefault="000663D7" w:rsidP="001D21EC">
      <w:pPr>
        <w:pStyle w:val="ListParagraph"/>
        <w:numPr>
          <w:ilvl w:val="0"/>
          <w:numId w:val="4"/>
        </w:numPr>
      </w:pPr>
      <w:r>
        <w:t>Nasal swabs that do not go beyond the nares</w:t>
      </w:r>
    </w:p>
    <w:p w14:paraId="32C533FA" w14:textId="0BFC3DE3" w:rsidR="00806212" w:rsidRDefault="000663D7" w:rsidP="001D21EC">
      <w:pPr>
        <w:pStyle w:val="ListParagraph"/>
        <w:numPr>
          <w:ilvl w:val="0"/>
          <w:numId w:val="4"/>
        </w:numPr>
      </w:pPr>
      <w:r>
        <w:t>Rectal swabs that do not go beyond the rectum</w:t>
      </w:r>
    </w:p>
    <w:p w14:paraId="14FBEDFE" w14:textId="37DBA40A" w:rsidR="000663D7" w:rsidRDefault="000663D7" w:rsidP="001D21EC">
      <w:pPr>
        <w:pStyle w:val="ListParagraph"/>
        <w:numPr>
          <w:ilvl w:val="0"/>
          <w:numId w:val="4"/>
        </w:numPr>
      </w:pPr>
      <w:r>
        <w:t xml:space="preserve">Vaginal swabs that do not go beyond the cervical </w:t>
      </w:r>
      <w:r w:rsidR="002B1B64">
        <w:t>into the uterus</w:t>
      </w:r>
    </w:p>
    <w:p w14:paraId="53D63AF1" w14:textId="72944710" w:rsidR="000663D7" w:rsidRDefault="000663D7" w:rsidP="00602F54">
      <w:pPr>
        <w:pStyle w:val="Heading2"/>
      </w:pPr>
      <w:r w:rsidRPr="001E2B77">
        <w:t>Category 4</w:t>
      </w:r>
      <w:proofErr w:type="gramStart"/>
      <w:r w:rsidRPr="001E2B77">
        <w:t>:  Non</w:t>
      </w:r>
      <w:proofErr w:type="gramEnd"/>
      <w:r w:rsidRPr="001E2B77">
        <w:t>-invasive procedures</w:t>
      </w:r>
      <w:r>
        <w:tab/>
      </w:r>
    </w:p>
    <w:p w14:paraId="04AE9AD2" w14:textId="77777777" w:rsidR="000663D7" w:rsidRDefault="000663D7" w:rsidP="000663D7">
      <w:r>
        <w:t>Collection of data through noninvasive procedures (not involving general anesthesia or sedation) routinely employed in clinical practice, excluding procedures involving x-rays or microwaves.</w:t>
      </w:r>
    </w:p>
    <w:p w14:paraId="02CE207A" w14:textId="77777777" w:rsidR="000663D7" w:rsidRDefault="000663D7" w:rsidP="000663D7">
      <w:r>
        <w:t>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4D14F617" w14:textId="77777777" w:rsidR="000663D7" w:rsidRPr="001D21EC" w:rsidRDefault="000663D7" w:rsidP="000663D7">
      <w:pPr>
        <w:rPr>
          <w:b/>
          <w:bCs/>
          <w:u w:val="single"/>
        </w:rPr>
      </w:pPr>
      <w:r w:rsidRPr="001D21EC">
        <w:rPr>
          <w:b/>
          <w:bCs/>
          <w:u w:val="single"/>
        </w:rPr>
        <w:t>Examples:</w:t>
      </w:r>
    </w:p>
    <w:p w14:paraId="3831A6E6" w14:textId="3D80C7F9" w:rsidR="000663D7" w:rsidRDefault="000663D7" w:rsidP="001D21EC">
      <w:pPr>
        <w:pStyle w:val="ListParagraph"/>
        <w:numPr>
          <w:ilvl w:val="0"/>
          <w:numId w:val="9"/>
        </w:numPr>
      </w:pPr>
      <w:r>
        <w:t>Body composition assessment (not DXA)</w:t>
      </w:r>
    </w:p>
    <w:p w14:paraId="63DC9786" w14:textId="108466B0" w:rsidR="000663D7" w:rsidRDefault="000663D7" w:rsidP="001D21EC">
      <w:pPr>
        <w:pStyle w:val="ListParagraph"/>
        <w:numPr>
          <w:ilvl w:val="0"/>
          <w:numId w:val="9"/>
        </w:numPr>
      </w:pPr>
      <w:r>
        <w:t>Detection of naturally occurring radioactivity</w:t>
      </w:r>
    </w:p>
    <w:p w14:paraId="20ADE4F2" w14:textId="42642F80" w:rsidR="000663D7" w:rsidRDefault="000663D7" w:rsidP="001D21EC">
      <w:pPr>
        <w:pStyle w:val="ListParagraph"/>
        <w:numPr>
          <w:ilvl w:val="0"/>
          <w:numId w:val="9"/>
        </w:numPr>
      </w:pPr>
      <w:r>
        <w:t>Diagnostic infrared imaging</w:t>
      </w:r>
    </w:p>
    <w:p w14:paraId="4A34D5A8" w14:textId="187F18DE" w:rsidR="000663D7" w:rsidRDefault="000663D7" w:rsidP="001D21EC">
      <w:pPr>
        <w:pStyle w:val="ListParagraph"/>
        <w:numPr>
          <w:ilvl w:val="0"/>
          <w:numId w:val="9"/>
        </w:numPr>
      </w:pPr>
      <w:r>
        <w:t>Doppler blood flow</w:t>
      </w:r>
    </w:p>
    <w:p w14:paraId="67F55B48" w14:textId="5EE9CE8B" w:rsidR="000663D7" w:rsidRDefault="000663D7" w:rsidP="001D21EC">
      <w:pPr>
        <w:pStyle w:val="ListParagraph"/>
        <w:numPr>
          <w:ilvl w:val="0"/>
          <w:numId w:val="9"/>
        </w:numPr>
      </w:pPr>
      <w:r>
        <w:t>Echocardiography</w:t>
      </w:r>
    </w:p>
    <w:p w14:paraId="4ABBBD69" w14:textId="4AA598CA" w:rsidR="000663D7" w:rsidRDefault="000663D7" w:rsidP="001D21EC">
      <w:pPr>
        <w:pStyle w:val="ListParagraph"/>
        <w:numPr>
          <w:ilvl w:val="0"/>
          <w:numId w:val="9"/>
        </w:numPr>
      </w:pPr>
      <w:r>
        <w:t>Electrocardiography</w:t>
      </w:r>
    </w:p>
    <w:p w14:paraId="1F5E4056" w14:textId="4DE3659C" w:rsidR="000663D7" w:rsidRDefault="000663D7" w:rsidP="001D21EC">
      <w:pPr>
        <w:pStyle w:val="ListParagraph"/>
        <w:numPr>
          <w:ilvl w:val="0"/>
          <w:numId w:val="9"/>
        </w:numPr>
      </w:pPr>
      <w:r>
        <w:t>Electroencephalography</w:t>
      </w:r>
    </w:p>
    <w:p w14:paraId="7DD6D8E3" w14:textId="27BDDE8D" w:rsidR="000663D7" w:rsidRDefault="000663D7" w:rsidP="001D21EC">
      <w:pPr>
        <w:pStyle w:val="ListParagraph"/>
        <w:numPr>
          <w:ilvl w:val="0"/>
          <w:numId w:val="9"/>
        </w:numPr>
      </w:pPr>
      <w:r>
        <w:t>Electromyography (EMG) (electrodes only)</w:t>
      </w:r>
    </w:p>
    <w:p w14:paraId="364B7EC4" w14:textId="3A0F88A3" w:rsidR="000663D7" w:rsidRDefault="000663D7" w:rsidP="001D21EC">
      <w:pPr>
        <w:pStyle w:val="ListParagraph"/>
        <w:numPr>
          <w:ilvl w:val="0"/>
          <w:numId w:val="9"/>
        </w:numPr>
      </w:pPr>
      <w:r>
        <w:t>Electroretinography</w:t>
      </w:r>
    </w:p>
    <w:p w14:paraId="094AFA40" w14:textId="00F99EA6" w:rsidR="000663D7" w:rsidRDefault="000663D7" w:rsidP="001D21EC">
      <w:pPr>
        <w:pStyle w:val="ListParagraph"/>
        <w:numPr>
          <w:ilvl w:val="0"/>
          <w:numId w:val="9"/>
        </w:numPr>
      </w:pPr>
      <w:r>
        <w:t>Flexibility testing where appropriate given the age, weight, and health of the individual</w:t>
      </w:r>
    </w:p>
    <w:p w14:paraId="1C6F22F3" w14:textId="0347FA16" w:rsidR="000663D7" w:rsidRDefault="000663D7" w:rsidP="001D21EC">
      <w:pPr>
        <w:pStyle w:val="ListParagraph"/>
        <w:numPr>
          <w:ilvl w:val="0"/>
          <w:numId w:val="9"/>
        </w:numPr>
      </w:pPr>
      <w:r>
        <w:t>Magnetic resonance imaging (MRI) without contrast</w:t>
      </w:r>
    </w:p>
    <w:p w14:paraId="6E9C7281" w14:textId="7B51BECF" w:rsidR="000663D7" w:rsidRDefault="000663D7" w:rsidP="001D21EC">
      <w:pPr>
        <w:pStyle w:val="ListParagraph"/>
        <w:numPr>
          <w:ilvl w:val="0"/>
          <w:numId w:val="9"/>
        </w:numPr>
      </w:pPr>
      <w:r>
        <w:t>Moderate exercise</w:t>
      </w:r>
    </w:p>
    <w:p w14:paraId="02E1C1D8" w14:textId="0A1205F8" w:rsidR="000663D7" w:rsidRDefault="000663D7" w:rsidP="001D21EC">
      <w:pPr>
        <w:pStyle w:val="ListParagraph"/>
        <w:numPr>
          <w:ilvl w:val="0"/>
          <w:numId w:val="9"/>
        </w:numPr>
      </w:pPr>
      <w:r>
        <w:t>Muscular strength testing</w:t>
      </w:r>
    </w:p>
    <w:p w14:paraId="29D61C10" w14:textId="707BC27F" w:rsidR="000663D7" w:rsidRDefault="000663D7" w:rsidP="001D21EC">
      <w:pPr>
        <w:pStyle w:val="ListParagraph"/>
        <w:numPr>
          <w:ilvl w:val="0"/>
          <w:numId w:val="9"/>
        </w:numPr>
      </w:pPr>
      <w:r>
        <w:t>Physical sensors that are applied either to the surface of the body or at a distance and do not involve input of significant amounts of energy into the subject or an invasion of the subject’s privacy</w:t>
      </w:r>
    </w:p>
    <w:p w14:paraId="4B2898EE" w14:textId="56E1864F" w:rsidR="00DD1342" w:rsidRDefault="000663D7" w:rsidP="00DD1342">
      <w:pPr>
        <w:pStyle w:val="ListParagraph"/>
        <w:numPr>
          <w:ilvl w:val="0"/>
          <w:numId w:val="9"/>
        </w:numPr>
      </w:pPr>
      <w:r>
        <w:t>Thermography</w:t>
      </w:r>
    </w:p>
    <w:p w14:paraId="3CE2C0B3" w14:textId="2B9C0270" w:rsidR="00DD1342" w:rsidRDefault="00DD1342" w:rsidP="00DD1342">
      <w:pPr>
        <w:pStyle w:val="ListParagraph"/>
        <w:numPr>
          <w:ilvl w:val="0"/>
          <w:numId w:val="9"/>
        </w:numPr>
      </w:pPr>
      <w:r>
        <w:t>Ultrasound</w:t>
      </w:r>
    </w:p>
    <w:p w14:paraId="53C75858" w14:textId="77777777" w:rsidR="00745557" w:rsidRDefault="00DD1342" w:rsidP="00745557">
      <w:pPr>
        <w:pStyle w:val="ListParagraph"/>
        <w:numPr>
          <w:ilvl w:val="0"/>
          <w:numId w:val="9"/>
        </w:numPr>
      </w:pPr>
      <w:r w:rsidRPr="00DD1342">
        <w:t>Weighing or testing sensory acuity</w:t>
      </w:r>
    </w:p>
    <w:p w14:paraId="26F0FACC" w14:textId="2A7B395E" w:rsidR="00745557" w:rsidRDefault="00745557" w:rsidP="00DD1342">
      <w:pPr>
        <w:pStyle w:val="ListParagraph"/>
        <w:numPr>
          <w:ilvl w:val="0"/>
          <w:numId w:val="9"/>
        </w:numPr>
      </w:pPr>
      <w:r>
        <w:t>fMRI</w:t>
      </w:r>
    </w:p>
    <w:p w14:paraId="2873C31B" w14:textId="261CF65B" w:rsidR="000663D7" w:rsidRDefault="000663D7" w:rsidP="001D21EC">
      <w:pPr>
        <w:pStyle w:val="ListParagraph"/>
        <w:numPr>
          <w:ilvl w:val="0"/>
          <w:numId w:val="9"/>
        </w:numPr>
      </w:pPr>
      <w:r>
        <w:t>Force plate</w:t>
      </w:r>
    </w:p>
    <w:p w14:paraId="7C10B899" w14:textId="4023C2D9" w:rsidR="000663D7" w:rsidRDefault="000663D7" w:rsidP="001D21EC">
      <w:pPr>
        <w:pStyle w:val="ListParagraph"/>
        <w:numPr>
          <w:ilvl w:val="0"/>
          <w:numId w:val="9"/>
        </w:numPr>
      </w:pPr>
      <w:r>
        <w:t>Tendon tapping</w:t>
      </w:r>
    </w:p>
    <w:p w14:paraId="2886C4F6" w14:textId="36F6C4BE" w:rsidR="000663D7" w:rsidRDefault="000663D7" w:rsidP="001D21EC">
      <w:pPr>
        <w:pStyle w:val="ListParagraph"/>
        <w:numPr>
          <w:ilvl w:val="0"/>
          <w:numId w:val="9"/>
        </w:numPr>
      </w:pPr>
      <w:r>
        <w:t>Vision testing/evaluation</w:t>
      </w:r>
    </w:p>
    <w:p w14:paraId="553EE31D" w14:textId="33E6728F" w:rsidR="000663D7" w:rsidRDefault="000663D7" w:rsidP="001D21EC">
      <w:pPr>
        <w:pStyle w:val="ListParagraph"/>
        <w:numPr>
          <w:ilvl w:val="0"/>
          <w:numId w:val="9"/>
        </w:numPr>
      </w:pPr>
      <w:r>
        <w:t>Vital signs (blood pressure, heart rate, respirations, etc.)</w:t>
      </w:r>
    </w:p>
    <w:p w14:paraId="3FF73905" w14:textId="3615DD6E" w:rsidR="002B1B64" w:rsidRDefault="002B1B64" w:rsidP="001D21EC">
      <w:pPr>
        <w:pStyle w:val="ListParagraph"/>
        <w:numPr>
          <w:ilvl w:val="0"/>
          <w:numId w:val="9"/>
        </w:numPr>
      </w:pPr>
      <w:r>
        <w:t xml:space="preserve">Colposcopy, assuming there are no biopsies collected </w:t>
      </w:r>
    </w:p>
    <w:p w14:paraId="3699CC1E" w14:textId="77777777" w:rsidR="000663D7" w:rsidRDefault="000663D7" w:rsidP="00602F54">
      <w:pPr>
        <w:pStyle w:val="Heading2"/>
      </w:pPr>
      <w:r>
        <w:t xml:space="preserve">Category 5: Use of data, records, or specimens </w:t>
      </w:r>
    </w:p>
    <w:p w14:paraId="1FDAFFBE" w14:textId="7ABE8105" w:rsidR="000663D7" w:rsidRDefault="000663D7" w:rsidP="000663D7">
      <w:r>
        <w:t>Research involving existing information or specimens that were previously collected for non-research purposes, as well as research involving existing information or specimens that were previously collected for research purposes-provided they were not collected for the currently proposed research.  (such as medical treatment or diagnosis).</w:t>
      </w:r>
    </w:p>
    <w:p w14:paraId="0A4D7698" w14:textId="77777777" w:rsidR="000663D7" w:rsidRPr="001D21EC" w:rsidRDefault="000663D7" w:rsidP="000663D7">
      <w:pPr>
        <w:rPr>
          <w:b/>
          <w:bCs/>
          <w:u w:val="single"/>
        </w:rPr>
      </w:pPr>
      <w:r w:rsidRPr="001D21EC">
        <w:rPr>
          <w:b/>
          <w:bCs/>
          <w:u w:val="single"/>
        </w:rPr>
        <w:t>Examples:</w:t>
      </w:r>
    </w:p>
    <w:p w14:paraId="0D8385EA" w14:textId="79689EF7" w:rsidR="000663D7" w:rsidRDefault="000663D7" w:rsidP="001D21EC">
      <w:pPr>
        <w:pStyle w:val="ListParagraph"/>
        <w:numPr>
          <w:ilvl w:val="0"/>
          <w:numId w:val="14"/>
        </w:numPr>
      </w:pPr>
      <w:r>
        <w:t>Retrospective or prospective chart review</w:t>
      </w:r>
    </w:p>
    <w:p w14:paraId="09B522C0" w14:textId="5B0CA3BB" w:rsidR="000663D7" w:rsidRDefault="000663D7" w:rsidP="001D21EC">
      <w:pPr>
        <w:pStyle w:val="ListParagraph"/>
        <w:numPr>
          <w:ilvl w:val="0"/>
          <w:numId w:val="14"/>
        </w:numPr>
      </w:pPr>
      <w:r>
        <w:t>Analysis of specimens that contain any of the 1</w:t>
      </w:r>
      <w:r w:rsidR="00745557">
        <w:t>8</w:t>
      </w:r>
      <w:r>
        <w:t xml:space="preserve"> HIPAA identifiers (e.g., name, MRN, etc.)</w:t>
      </w:r>
    </w:p>
    <w:p w14:paraId="58122DE1" w14:textId="77777777" w:rsidR="000663D7" w:rsidRDefault="000663D7" w:rsidP="00602F54">
      <w:pPr>
        <w:pStyle w:val="Heading2"/>
      </w:pPr>
      <w:r>
        <w:t>Category 6: Collection of data from voice, video, digital, or image recordings made for research purposes</w:t>
      </w:r>
    </w:p>
    <w:p w14:paraId="074E08A4" w14:textId="77777777" w:rsidR="00745557" w:rsidRDefault="000663D7" w:rsidP="000663D7">
      <w:r w:rsidRPr="001D21EC">
        <w:rPr>
          <w:b/>
          <w:bCs/>
          <w:u w:val="single"/>
        </w:rPr>
        <w:t>Example:</w:t>
      </w:r>
      <w:r>
        <w:t xml:space="preserve"> </w:t>
      </w:r>
    </w:p>
    <w:p w14:paraId="0B84A53F" w14:textId="5D1EF29B" w:rsidR="000663D7" w:rsidRDefault="000663D7" w:rsidP="000663D7">
      <w:r>
        <w:t>Using video recordings to examine communication styles between faculty and students</w:t>
      </w:r>
    </w:p>
    <w:p w14:paraId="7AC42B3D" w14:textId="77777777" w:rsidR="000663D7" w:rsidRDefault="000663D7" w:rsidP="000663D7"/>
    <w:p w14:paraId="52BBBCB1" w14:textId="77777777" w:rsidR="000663D7" w:rsidRDefault="000663D7" w:rsidP="00602F54">
      <w:pPr>
        <w:pStyle w:val="Heading2"/>
      </w:pPr>
      <w:r>
        <w:t>Category 7: Behavioral research</w:t>
      </w:r>
    </w:p>
    <w:p w14:paraId="276A895E" w14:textId="77777777" w:rsidR="000663D7" w:rsidRDefault="000663D7" w:rsidP="000663D7">
      <w:r>
        <w:t xml:space="preserve">Research on individual or group characteristics or behavior (including, but not limited to, research on perception, cognition, motivation, identity, language, communication, cultural beliefs </w:t>
      </w:r>
      <w:proofErr w:type="gramStart"/>
      <w:r>
        <w:t>or practices, and</w:t>
      </w:r>
      <w:proofErr w:type="gramEnd"/>
      <w:r>
        <w:t xml:space="preserve"> social behavior) or research employing survey, interview</w:t>
      </w:r>
      <w:proofErr w:type="gramStart"/>
      <w:r>
        <w:t>, oral history</w:t>
      </w:r>
      <w:proofErr w:type="gramEnd"/>
      <w:r>
        <w:t>, focus group, program evaluation, human factors evaluation, or quality assurance methodologies.</w:t>
      </w:r>
    </w:p>
    <w:p w14:paraId="68173191" w14:textId="77777777" w:rsidR="00856406" w:rsidRPr="001D21EC" w:rsidRDefault="000663D7" w:rsidP="000663D7">
      <w:pPr>
        <w:rPr>
          <w:b/>
          <w:bCs/>
          <w:u w:val="single"/>
        </w:rPr>
      </w:pPr>
      <w:r w:rsidRPr="001D21EC">
        <w:rPr>
          <w:b/>
          <w:bCs/>
          <w:u w:val="single"/>
        </w:rPr>
        <w:t xml:space="preserve">Example: </w:t>
      </w:r>
    </w:p>
    <w:p w14:paraId="4206F930" w14:textId="0EF21C78" w:rsidR="000663D7" w:rsidRDefault="00856406" w:rsidP="00602F54">
      <w:pPr>
        <w:pStyle w:val="ListParagraph"/>
        <w:numPr>
          <w:ilvl w:val="0"/>
          <w:numId w:val="16"/>
        </w:numPr>
      </w:pPr>
      <w:r>
        <w:t>S</w:t>
      </w:r>
      <w:r w:rsidR="000663D7">
        <w:t>urvey research</w:t>
      </w:r>
    </w:p>
    <w:p w14:paraId="1D6A2B05" w14:textId="177E25A2" w:rsidR="00E61A0A" w:rsidRDefault="00E61A0A" w:rsidP="00602F54">
      <w:pPr>
        <w:pStyle w:val="ListParagraph"/>
        <w:numPr>
          <w:ilvl w:val="0"/>
          <w:numId w:val="16"/>
        </w:numPr>
      </w:pPr>
      <w:r>
        <w:t>Behavioral intervention that is more than one-day in length</w:t>
      </w:r>
    </w:p>
    <w:p w14:paraId="5D90751E" w14:textId="77777777" w:rsidR="00995AEC" w:rsidRDefault="00995AEC"/>
    <w:sectPr w:rsidR="00995A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75FD" w14:textId="77777777" w:rsidR="00895BC5" w:rsidRDefault="00895BC5" w:rsidP="00895BC5">
      <w:pPr>
        <w:spacing w:after="0" w:line="240" w:lineRule="auto"/>
      </w:pPr>
      <w:r>
        <w:separator/>
      </w:r>
    </w:p>
  </w:endnote>
  <w:endnote w:type="continuationSeparator" w:id="0">
    <w:p w14:paraId="606BA774" w14:textId="77777777" w:rsidR="00895BC5" w:rsidRDefault="00895BC5" w:rsidP="0089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7D9E" w14:textId="13F3F074" w:rsidR="00895BC5" w:rsidRDefault="00895BC5">
    <w:pPr>
      <w:pStyle w:val="Footer"/>
    </w:pPr>
    <w:r>
      <w:t>V</w:t>
    </w:r>
    <w:r w:rsidR="000D54A7">
      <w:t>0</w:t>
    </w:r>
    <w:r w:rsidR="00932679">
      <w:t>2</w:t>
    </w:r>
    <w:r w:rsidR="004807E5">
      <w:t>/</w:t>
    </w:r>
    <w:r w:rsidR="00932679">
      <w:t>05</w:t>
    </w:r>
    <w:r w:rsidR="004807E5">
      <w:t>/202</w:t>
    </w:r>
    <w:r w:rsidR="0093267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55CF" w14:textId="77777777" w:rsidR="00895BC5" w:rsidRDefault="00895BC5" w:rsidP="00895BC5">
      <w:pPr>
        <w:spacing w:after="0" w:line="240" w:lineRule="auto"/>
      </w:pPr>
      <w:r>
        <w:separator/>
      </w:r>
    </w:p>
  </w:footnote>
  <w:footnote w:type="continuationSeparator" w:id="0">
    <w:p w14:paraId="1F07964E" w14:textId="77777777" w:rsidR="00895BC5" w:rsidRDefault="00895BC5" w:rsidP="00895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63B"/>
    <w:multiLevelType w:val="hybridMultilevel"/>
    <w:tmpl w:val="183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16989"/>
    <w:multiLevelType w:val="hybridMultilevel"/>
    <w:tmpl w:val="7BC0157E"/>
    <w:lvl w:ilvl="0" w:tplc="DA7C462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D3989"/>
    <w:multiLevelType w:val="hybridMultilevel"/>
    <w:tmpl w:val="83885EF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BA47E5"/>
    <w:multiLevelType w:val="hybridMultilevel"/>
    <w:tmpl w:val="7794F28E"/>
    <w:lvl w:ilvl="0" w:tplc="04090017">
      <w:start w:val="1"/>
      <w:numFmt w:val="lowerLetter"/>
      <w:lvlText w:val="%1)"/>
      <w:lvlJc w:val="left"/>
      <w:pPr>
        <w:ind w:left="720" w:hanging="360"/>
      </w:pPr>
    </w:lvl>
    <w:lvl w:ilvl="1" w:tplc="D0A8675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E1985"/>
    <w:multiLevelType w:val="hybridMultilevel"/>
    <w:tmpl w:val="94BEC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81A0C"/>
    <w:multiLevelType w:val="hybridMultilevel"/>
    <w:tmpl w:val="0764C6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2E2D90"/>
    <w:multiLevelType w:val="hybridMultilevel"/>
    <w:tmpl w:val="FB08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11B4"/>
    <w:multiLevelType w:val="hybridMultilevel"/>
    <w:tmpl w:val="B170B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E056B"/>
    <w:multiLevelType w:val="hybridMultilevel"/>
    <w:tmpl w:val="2A50B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A4AE8"/>
    <w:multiLevelType w:val="hybridMultilevel"/>
    <w:tmpl w:val="B2D2D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62BB9"/>
    <w:multiLevelType w:val="hybridMultilevel"/>
    <w:tmpl w:val="0BA289B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135076"/>
    <w:multiLevelType w:val="hybridMultilevel"/>
    <w:tmpl w:val="E4EA8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119DC"/>
    <w:multiLevelType w:val="multilevel"/>
    <w:tmpl w:val="49B4FA9C"/>
    <w:lvl w:ilvl="0">
      <w:start w:val="1"/>
      <w:numFmt w:val="decimal"/>
      <w:lvlText w:val="%1."/>
      <w:lvlJc w:val="left"/>
      <w:pPr>
        <w:tabs>
          <w:tab w:val="num" w:pos="720"/>
        </w:tabs>
        <w:ind w:left="720" w:hanging="360"/>
      </w:pPr>
      <w:rPr>
        <w:rFonts w:asciiTheme="minorHAnsi" w:hAnsiTheme="minorHAnsi" w:cstheme="minorHAns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0397E"/>
    <w:multiLevelType w:val="hybridMultilevel"/>
    <w:tmpl w:val="7618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37F14"/>
    <w:multiLevelType w:val="hybridMultilevel"/>
    <w:tmpl w:val="F2E6F4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41766"/>
    <w:multiLevelType w:val="hybridMultilevel"/>
    <w:tmpl w:val="9F20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374895">
    <w:abstractNumId w:val="13"/>
  </w:num>
  <w:num w:numId="2" w16cid:durableId="389235583">
    <w:abstractNumId w:val="6"/>
  </w:num>
  <w:num w:numId="3" w16cid:durableId="367755215">
    <w:abstractNumId w:val="0"/>
  </w:num>
  <w:num w:numId="4" w16cid:durableId="1396008465">
    <w:abstractNumId w:val="10"/>
  </w:num>
  <w:num w:numId="5" w16cid:durableId="1519615325">
    <w:abstractNumId w:val="5"/>
  </w:num>
  <w:num w:numId="6" w16cid:durableId="1350645997">
    <w:abstractNumId w:val="1"/>
  </w:num>
  <w:num w:numId="7" w16cid:durableId="1568570413">
    <w:abstractNumId w:val="3"/>
  </w:num>
  <w:num w:numId="8" w16cid:durableId="1304852611">
    <w:abstractNumId w:val="2"/>
  </w:num>
  <w:num w:numId="9" w16cid:durableId="1080568015">
    <w:abstractNumId w:val="11"/>
  </w:num>
  <w:num w:numId="10" w16cid:durableId="832793384">
    <w:abstractNumId w:val="9"/>
  </w:num>
  <w:num w:numId="11" w16cid:durableId="2009675490">
    <w:abstractNumId w:val="7"/>
  </w:num>
  <w:num w:numId="12" w16cid:durableId="894663420">
    <w:abstractNumId w:val="14"/>
  </w:num>
  <w:num w:numId="13" w16cid:durableId="229854848">
    <w:abstractNumId w:val="8"/>
  </w:num>
  <w:num w:numId="14" w16cid:durableId="340593624">
    <w:abstractNumId w:val="4"/>
  </w:num>
  <w:num w:numId="15" w16cid:durableId="925267548">
    <w:abstractNumId w:val="12"/>
  </w:num>
  <w:num w:numId="16" w16cid:durableId="2002347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7"/>
    <w:rsid w:val="00021F23"/>
    <w:rsid w:val="000663D7"/>
    <w:rsid w:val="000D54A7"/>
    <w:rsid w:val="000F7D7D"/>
    <w:rsid w:val="001841B1"/>
    <w:rsid w:val="001853F0"/>
    <w:rsid w:val="001A7424"/>
    <w:rsid w:val="001D21EC"/>
    <w:rsid w:val="001E2B77"/>
    <w:rsid w:val="00293700"/>
    <w:rsid w:val="002B1B64"/>
    <w:rsid w:val="00306DD9"/>
    <w:rsid w:val="003A5622"/>
    <w:rsid w:val="003B17C1"/>
    <w:rsid w:val="004807E5"/>
    <w:rsid w:val="00522EB1"/>
    <w:rsid w:val="00567EAF"/>
    <w:rsid w:val="00585FA0"/>
    <w:rsid w:val="005C1B48"/>
    <w:rsid w:val="005E47FF"/>
    <w:rsid w:val="00602F54"/>
    <w:rsid w:val="00626190"/>
    <w:rsid w:val="0066374F"/>
    <w:rsid w:val="0068502E"/>
    <w:rsid w:val="00685B8C"/>
    <w:rsid w:val="00693DB2"/>
    <w:rsid w:val="006F7451"/>
    <w:rsid w:val="00745557"/>
    <w:rsid w:val="00806212"/>
    <w:rsid w:val="008163AC"/>
    <w:rsid w:val="00823C6F"/>
    <w:rsid w:val="0082436D"/>
    <w:rsid w:val="00856406"/>
    <w:rsid w:val="00870354"/>
    <w:rsid w:val="00895BC5"/>
    <w:rsid w:val="008B19A6"/>
    <w:rsid w:val="00901E1A"/>
    <w:rsid w:val="00926000"/>
    <w:rsid w:val="00932679"/>
    <w:rsid w:val="00934758"/>
    <w:rsid w:val="009622A8"/>
    <w:rsid w:val="00995AEC"/>
    <w:rsid w:val="009C279A"/>
    <w:rsid w:val="00A830D7"/>
    <w:rsid w:val="00A8432C"/>
    <w:rsid w:val="00AB1CAB"/>
    <w:rsid w:val="00AC3E42"/>
    <w:rsid w:val="00B20D4F"/>
    <w:rsid w:val="00B965B0"/>
    <w:rsid w:val="00BF0931"/>
    <w:rsid w:val="00CA004E"/>
    <w:rsid w:val="00D234D4"/>
    <w:rsid w:val="00DD01ED"/>
    <w:rsid w:val="00DD1342"/>
    <w:rsid w:val="00E1559A"/>
    <w:rsid w:val="00E61A0A"/>
    <w:rsid w:val="00EE3198"/>
    <w:rsid w:val="00F02316"/>
    <w:rsid w:val="00F25DA4"/>
    <w:rsid w:val="00F4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FAEF"/>
  <w15:chartTrackingRefBased/>
  <w15:docId w15:val="{AE1FF651-37B2-4DE1-BF3A-C3CAF3F7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F54"/>
    <w:pPr>
      <w:outlineLvl w:val="0"/>
    </w:pPr>
    <w:rPr>
      <w:b/>
      <w:bCs/>
      <w:sz w:val="28"/>
      <w:szCs w:val="28"/>
    </w:rPr>
  </w:style>
  <w:style w:type="paragraph" w:styleId="Heading2">
    <w:name w:val="heading 2"/>
    <w:basedOn w:val="Normal"/>
    <w:next w:val="Normal"/>
    <w:link w:val="Heading2Char"/>
    <w:uiPriority w:val="9"/>
    <w:unhideWhenUsed/>
    <w:qFormat/>
    <w:rsid w:val="00602F54"/>
    <w:pPr>
      <w:shd w:val="clear" w:color="auto" w:fill="ACB9CA" w:themeFill="text2" w:themeFillTint="66"/>
      <w:spacing w:before="240" w:after="24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D7"/>
    <w:pPr>
      <w:ind w:left="720"/>
      <w:contextualSpacing/>
    </w:pPr>
  </w:style>
  <w:style w:type="table" w:styleId="TableGrid">
    <w:name w:val="Table Grid"/>
    <w:basedOn w:val="TableNormal"/>
    <w:uiPriority w:val="39"/>
    <w:rsid w:val="0006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63D7"/>
    <w:rPr>
      <w:sz w:val="16"/>
      <w:szCs w:val="16"/>
    </w:rPr>
  </w:style>
  <w:style w:type="paragraph" w:styleId="CommentText">
    <w:name w:val="annotation text"/>
    <w:basedOn w:val="Normal"/>
    <w:link w:val="CommentTextChar"/>
    <w:uiPriority w:val="99"/>
    <w:unhideWhenUsed/>
    <w:rsid w:val="000663D7"/>
    <w:pPr>
      <w:spacing w:line="240" w:lineRule="auto"/>
    </w:pPr>
    <w:rPr>
      <w:sz w:val="20"/>
      <w:szCs w:val="20"/>
    </w:rPr>
  </w:style>
  <w:style w:type="character" w:customStyle="1" w:styleId="CommentTextChar">
    <w:name w:val="Comment Text Char"/>
    <w:basedOn w:val="DefaultParagraphFont"/>
    <w:link w:val="CommentText"/>
    <w:uiPriority w:val="99"/>
    <w:rsid w:val="000663D7"/>
    <w:rPr>
      <w:sz w:val="20"/>
      <w:szCs w:val="20"/>
    </w:rPr>
  </w:style>
  <w:style w:type="paragraph" w:styleId="CommentSubject">
    <w:name w:val="annotation subject"/>
    <w:basedOn w:val="CommentText"/>
    <w:next w:val="CommentText"/>
    <w:link w:val="CommentSubjectChar"/>
    <w:uiPriority w:val="99"/>
    <w:semiHidden/>
    <w:unhideWhenUsed/>
    <w:rsid w:val="000663D7"/>
    <w:rPr>
      <w:b/>
      <w:bCs/>
    </w:rPr>
  </w:style>
  <w:style w:type="character" w:customStyle="1" w:styleId="CommentSubjectChar">
    <w:name w:val="Comment Subject Char"/>
    <w:basedOn w:val="CommentTextChar"/>
    <w:link w:val="CommentSubject"/>
    <w:uiPriority w:val="99"/>
    <w:semiHidden/>
    <w:rsid w:val="000663D7"/>
    <w:rPr>
      <w:b/>
      <w:bCs/>
      <w:sz w:val="20"/>
      <w:szCs w:val="20"/>
    </w:rPr>
  </w:style>
  <w:style w:type="paragraph" w:styleId="Revision">
    <w:name w:val="Revision"/>
    <w:hidden/>
    <w:uiPriority w:val="99"/>
    <w:semiHidden/>
    <w:rsid w:val="009C279A"/>
    <w:pPr>
      <w:spacing w:after="0" w:line="240" w:lineRule="auto"/>
    </w:pPr>
  </w:style>
  <w:style w:type="character" w:styleId="Hyperlink">
    <w:name w:val="Hyperlink"/>
    <w:basedOn w:val="DefaultParagraphFont"/>
    <w:uiPriority w:val="99"/>
    <w:unhideWhenUsed/>
    <w:rsid w:val="00F41814"/>
    <w:rPr>
      <w:color w:val="0563C1" w:themeColor="hyperlink"/>
      <w:u w:val="single"/>
    </w:rPr>
  </w:style>
  <w:style w:type="character" w:styleId="UnresolvedMention">
    <w:name w:val="Unresolved Mention"/>
    <w:basedOn w:val="DefaultParagraphFont"/>
    <w:uiPriority w:val="99"/>
    <w:semiHidden/>
    <w:unhideWhenUsed/>
    <w:rsid w:val="00F41814"/>
    <w:rPr>
      <w:color w:val="605E5C"/>
      <w:shd w:val="clear" w:color="auto" w:fill="E1DFDD"/>
    </w:rPr>
  </w:style>
  <w:style w:type="paragraph" w:styleId="Header">
    <w:name w:val="header"/>
    <w:basedOn w:val="Normal"/>
    <w:link w:val="HeaderChar"/>
    <w:uiPriority w:val="99"/>
    <w:unhideWhenUsed/>
    <w:rsid w:val="0089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C5"/>
  </w:style>
  <w:style w:type="paragraph" w:styleId="Footer">
    <w:name w:val="footer"/>
    <w:basedOn w:val="Normal"/>
    <w:link w:val="FooterChar"/>
    <w:uiPriority w:val="99"/>
    <w:unhideWhenUsed/>
    <w:rsid w:val="0089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C5"/>
  </w:style>
  <w:style w:type="character" w:styleId="Emphasis">
    <w:name w:val="Emphasis"/>
    <w:basedOn w:val="DefaultParagraphFont"/>
    <w:uiPriority w:val="20"/>
    <w:rsid w:val="00F02316"/>
    <w:rPr>
      <w:b/>
      <w:bCs/>
    </w:rPr>
  </w:style>
  <w:style w:type="paragraph" w:styleId="NormalWeb">
    <w:name w:val="Normal (Web)"/>
    <w:basedOn w:val="Normal"/>
    <w:uiPriority w:val="99"/>
    <w:unhideWhenUsed/>
    <w:rsid w:val="00F02316"/>
    <w:pPr>
      <w:spacing w:after="0" w:line="240" w:lineRule="auto"/>
    </w:pPr>
    <w:rPr>
      <w:rFonts w:ascii="Calibri" w:hAnsi="Calibri" w:cs="Calibri"/>
    </w:rPr>
  </w:style>
  <w:style w:type="paragraph" w:styleId="Title">
    <w:name w:val="Title"/>
    <w:basedOn w:val="Normal"/>
    <w:next w:val="Normal"/>
    <w:link w:val="TitleChar"/>
    <w:uiPriority w:val="10"/>
    <w:qFormat/>
    <w:rsid w:val="00602F54"/>
    <w:pPr>
      <w:jc w:val="center"/>
    </w:pPr>
    <w:rPr>
      <w:b/>
      <w:bCs/>
      <w:sz w:val="40"/>
      <w:szCs w:val="40"/>
    </w:rPr>
  </w:style>
  <w:style w:type="character" w:customStyle="1" w:styleId="TitleChar">
    <w:name w:val="Title Char"/>
    <w:basedOn w:val="DefaultParagraphFont"/>
    <w:link w:val="Title"/>
    <w:uiPriority w:val="10"/>
    <w:rsid w:val="00602F54"/>
    <w:rPr>
      <w:b/>
      <w:bCs/>
      <w:sz w:val="40"/>
      <w:szCs w:val="40"/>
    </w:rPr>
  </w:style>
  <w:style w:type="character" w:customStyle="1" w:styleId="Heading1Char">
    <w:name w:val="Heading 1 Char"/>
    <w:basedOn w:val="DefaultParagraphFont"/>
    <w:link w:val="Heading1"/>
    <w:uiPriority w:val="9"/>
    <w:rsid w:val="00602F54"/>
    <w:rPr>
      <w:b/>
      <w:bCs/>
      <w:sz w:val="28"/>
      <w:szCs w:val="28"/>
    </w:rPr>
  </w:style>
  <w:style w:type="character" w:customStyle="1" w:styleId="Heading2Char">
    <w:name w:val="Heading 2 Char"/>
    <w:basedOn w:val="DefaultParagraphFont"/>
    <w:link w:val="Heading2"/>
    <w:uiPriority w:val="9"/>
    <w:rsid w:val="00602F54"/>
    <w:rPr>
      <w:b/>
      <w:bCs/>
      <w:shd w:val="clear" w:color="auto" w:fill="ACB9CA" w:themeFill="text2"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1880</Words>
  <Characters>10269</Characters>
  <Application>Microsoft Office Word</Application>
  <DocSecurity>0</DocSecurity>
  <Lines>270</Lines>
  <Paragraphs>144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Karlebach, Shara</dc:creator>
  <cp:keywords/>
  <dc:description/>
  <cp:lastModifiedBy>Martin, Julie T.</cp:lastModifiedBy>
  <cp:revision>2</cp:revision>
  <dcterms:created xsi:type="dcterms:W3CDTF">2026-02-05T21:00:00Z</dcterms:created>
  <dcterms:modified xsi:type="dcterms:W3CDTF">2026-02-05T21:00:00Z</dcterms:modified>
</cp:coreProperties>
</file>