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2E7B" w14:textId="0C70626A" w:rsidR="00943BE1" w:rsidRPr="00887B9E" w:rsidRDefault="0098503F" w:rsidP="002D55BA">
      <w:pPr>
        <w:pStyle w:val="Title"/>
        <w:jc w:val="center"/>
      </w:pPr>
      <w:r w:rsidRPr="00887B9E">
        <w:t>Data Safety Monitoring Plan Requirements Questionnaire</w:t>
      </w:r>
      <w:r w:rsidR="00C9111C">
        <w:t xml:space="preserve"> for Investigator-Initiated Studies</w:t>
      </w:r>
    </w:p>
    <w:p w14:paraId="64889169" w14:textId="5C132A6E" w:rsidR="00887B9E" w:rsidRDefault="0098503F" w:rsidP="005D7D9F">
      <w:pPr>
        <w:rPr>
          <w:rFonts w:cstheme="minorHAnsi"/>
        </w:rPr>
      </w:pPr>
      <w:r w:rsidRPr="002D55BA">
        <w:rPr>
          <w:rFonts w:cstheme="minorHAnsi"/>
        </w:rPr>
        <w:t xml:space="preserve">Please complete the below questionnaire to determine which </w:t>
      </w:r>
      <w:r w:rsidR="005D7D9F" w:rsidRPr="002D55BA">
        <w:rPr>
          <w:rFonts w:cstheme="minorHAnsi"/>
        </w:rPr>
        <w:t>monitoring table</w:t>
      </w:r>
      <w:r w:rsidRPr="002D55BA">
        <w:rPr>
          <w:rFonts w:cstheme="minorHAnsi"/>
        </w:rPr>
        <w:t xml:space="preserve"> best fits your study monitoring requirements. </w:t>
      </w:r>
    </w:p>
    <w:p w14:paraId="0079F912" w14:textId="3319E5F0" w:rsidR="005D7D9F" w:rsidRPr="002D55BA" w:rsidRDefault="00887B9E" w:rsidP="005D7D9F">
      <w:pPr>
        <w:rPr>
          <w:rFonts w:cstheme="minorHAnsi"/>
          <w:b/>
          <w:bCs/>
        </w:rPr>
      </w:pPr>
      <w:r w:rsidRPr="00887B9E">
        <w:rPr>
          <w:rFonts w:cstheme="minorHAnsi"/>
          <w:b/>
          <w:bCs/>
        </w:rPr>
        <w:t>U</w:t>
      </w:r>
      <w:r w:rsidR="005D7D9F" w:rsidRPr="002D55BA">
        <w:rPr>
          <w:rFonts w:cstheme="minorHAnsi"/>
          <w:b/>
          <w:bCs/>
        </w:rPr>
        <w:t>pload your completed</w:t>
      </w:r>
      <w:r w:rsidR="0098503F" w:rsidRPr="002D55BA">
        <w:rPr>
          <w:rFonts w:cstheme="minorHAnsi"/>
          <w:b/>
          <w:bCs/>
        </w:rPr>
        <w:t xml:space="preserve"> questionnaire</w:t>
      </w:r>
      <w:r w:rsidR="005D7D9F" w:rsidRPr="002D55BA">
        <w:rPr>
          <w:rFonts w:cstheme="minorHAnsi"/>
          <w:b/>
          <w:bCs/>
        </w:rPr>
        <w:t xml:space="preserve"> in the protocol section of eIRB</w:t>
      </w:r>
      <w:r w:rsidR="005D7D9F" w:rsidRPr="002D55BA">
        <w:rPr>
          <w:rFonts w:cstheme="minorHAnsi"/>
        </w:rPr>
        <w:t>.</w:t>
      </w:r>
      <w:r w:rsidR="0098503F" w:rsidRPr="002D55BA">
        <w:rPr>
          <w:rFonts w:cstheme="minorHAnsi"/>
        </w:rPr>
        <w:t xml:space="preserve"> </w:t>
      </w:r>
      <w:r w:rsidRPr="00887B9E">
        <w:rPr>
          <w:rFonts w:cstheme="minorHAnsi"/>
          <w:b/>
          <w:bCs/>
        </w:rPr>
        <w:t>If a monitoring table is required</w:t>
      </w:r>
      <w:r>
        <w:rPr>
          <w:rFonts w:cstheme="minorHAnsi"/>
        </w:rPr>
        <w:t>:</w:t>
      </w:r>
      <w:r w:rsidRPr="002D55BA">
        <w:rPr>
          <w:rFonts w:cstheme="minorHAnsi"/>
        </w:rPr>
        <w:t xml:space="preserve"> complete the </w:t>
      </w:r>
      <w:r w:rsidR="005D7D9F" w:rsidRPr="002D55BA">
        <w:rPr>
          <w:rFonts w:cstheme="minorHAnsi"/>
        </w:rPr>
        <w:t>corresponding monitoring table</w:t>
      </w:r>
      <w:r w:rsidRPr="002D55BA">
        <w:rPr>
          <w:rFonts w:cstheme="minorHAnsi"/>
        </w:rPr>
        <w:t xml:space="preserve"> and insert in your study protocol under the section titled “</w:t>
      </w:r>
      <w:r w:rsidR="000A4198" w:rsidRPr="002D55BA">
        <w:rPr>
          <w:rFonts w:cstheme="minorHAnsi"/>
        </w:rPr>
        <w:t>Plans to Monitor the Data to Ensure the Safety of Participants and Integrity of the Data</w:t>
      </w:r>
      <w:r w:rsidR="00EF0CA9">
        <w:rPr>
          <w:rFonts w:cstheme="minorHAnsi"/>
        </w:rPr>
        <w:t>.</w:t>
      </w:r>
      <w:r w:rsidRPr="002D55BA">
        <w:rPr>
          <w:rFonts w:cstheme="minorHAnsi"/>
        </w:rPr>
        <w:t>”</w:t>
      </w:r>
      <w:r w:rsidR="005D7D9F" w:rsidRPr="002D55BA">
        <w:rPr>
          <w:rFonts w:cstheme="minorHAnsi"/>
          <w:b/>
          <w:bCs/>
        </w:rPr>
        <w:t xml:space="preserve"> </w:t>
      </w:r>
      <w:r w:rsidR="000E0BE2">
        <w:rPr>
          <w:rFonts w:cstheme="minorHAnsi"/>
          <w:b/>
          <w:bCs/>
        </w:rPr>
        <w:t xml:space="preserve">Note: The IRB will ultimately decide on the risk level of the study and may require additional plan details. </w:t>
      </w:r>
    </w:p>
    <w:p w14:paraId="7512C21E" w14:textId="79D15EF8" w:rsidR="00E644D0" w:rsidRDefault="00E644D0" w:rsidP="005D7D9F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Does this study</w:t>
      </w:r>
      <w:r w:rsidR="008334BC">
        <w:rPr>
          <w:rFonts w:cstheme="minorHAnsi"/>
          <w:b/>
          <w:bCs/>
        </w:rPr>
        <w:t xml:space="preserve"> evaluate or</w:t>
      </w:r>
      <w:r w:rsidR="00E42E31">
        <w:rPr>
          <w:rFonts w:cstheme="minorHAnsi"/>
          <w:b/>
          <w:bCs/>
        </w:rPr>
        <w:t xml:space="preserve"> direct the</w:t>
      </w:r>
      <w:r>
        <w:rPr>
          <w:rFonts w:cstheme="minorHAnsi"/>
          <w:b/>
          <w:bCs/>
        </w:rPr>
        <w:t xml:space="preserve"> use</w:t>
      </w:r>
      <w:r w:rsidR="00E42E31">
        <w:rPr>
          <w:rFonts w:cstheme="minorHAnsi"/>
          <w:b/>
          <w:bCs/>
        </w:rPr>
        <w:t xml:space="preserve"> of</w:t>
      </w:r>
      <w:r>
        <w:rPr>
          <w:rFonts w:cstheme="minorHAnsi"/>
          <w:b/>
          <w:bCs/>
        </w:rPr>
        <w:t xml:space="preserve"> a device</w:t>
      </w:r>
      <w:r w:rsidR="00F16E61">
        <w:rPr>
          <w:rFonts w:cstheme="minorHAnsi"/>
          <w:b/>
          <w:bCs/>
        </w:rPr>
        <w:t>?</w:t>
      </w:r>
      <w:r>
        <w:rPr>
          <w:rFonts w:cstheme="minorHAnsi"/>
          <w:b/>
          <w:bCs/>
        </w:rPr>
        <w:t xml:space="preserve"> </w:t>
      </w:r>
      <w:r w:rsidR="00F16E61">
        <w:rPr>
          <w:rFonts w:cstheme="minorHAnsi"/>
          <w:b/>
          <w:bCs/>
        </w:rPr>
        <w:br/>
      </w:r>
      <w:r w:rsidR="00F16E61" w:rsidRPr="00A907D3">
        <w:rPr>
          <w:rFonts w:cstheme="minorHAnsi"/>
          <w:i/>
          <w:iCs/>
        </w:rPr>
        <w:t>F</w:t>
      </w:r>
      <w:r w:rsidRPr="00A907D3">
        <w:rPr>
          <w:rFonts w:cstheme="minorHAnsi"/>
          <w:i/>
          <w:iCs/>
        </w:rPr>
        <w:t xml:space="preserve">or example: </w:t>
      </w:r>
      <w:r w:rsidR="008B6712" w:rsidRPr="00A907D3">
        <w:rPr>
          <w:rFonts w:cstheme="minorHAnsi"/>
          <w:i/>
          <w:iCs/>
        </w:rPr>
        <w:t xml:space="preserve">use of a </w:t>
      </w:r>
      <w:r w:rsidRPr="00A907D3">
        <w:rPr>
          <w:rFonts w:cstheme="minorHAnsi"/>
          <w:i/>
          <w:iCs/>
        </w:rPr>
        <w:t>TMS</w:t>
      </w:r>
      <w:r w:rsidR="008B6712" w:rsidRPr="00A907D3">
        <w:rPr>
          <w:rFonts w:cstheme="minorHAnsi"/>
          <w:i/>
          <w:iCs/>
        </w:rPr>
        <w:t xml:space="preserve"> device</w:t>
      </w:r>
      <w:r w:rsidRPr="00A907D3">
        <w:rPr>
          <w:rFonts w:cstheme="minorHAnsi"/>
          <w:i/>
          <w:iCs/>
        </w:rPr>
        <w:t>, wearable devices</w:t>
      </w:r>
      <w:r w:rsidR="00D4221C" w:rsidRPr="00A907D3">
        <w:rPr>
          <w:rFonts w:cstheme="minorHAnsi"/>
          <w:i/>
          <w:iCs/>
        </w:rPr>
        <w:t xml:space="preserve"> that collect medical data</w:t>
      </w:r>
      <w:r w:rsidRPr="00A907D3">
        <w:rPr>
          <w:rFonts w:cstheme="minorHAnsi"/>
          <w:i/>
          <w:iCs/>
        </w:rPr>
        <w:t>, etc.</w:t>
      </w:r>
      <w:r w:rsidRPr="0036305B">
        <w:rPr>
          <w:rFonts w:cstheme="minorHAnsi"/>
          <w:b/>
          <w:bCs/>
        </w:rPr>
        <w:t xml:space="preserve"> </w:t>
      </w:r>
    </w:p>
    <w:p w14:paraId="2E3802CB" w14:textId="0B5FA152" w:rsidR="004A7932" w:rsidRDefault="00630CCA" w:rsidP="002D55BA">
      <w:pPr>
        <w:ind w:left="270"/>
        <w:rPr>
          <w:rFonts w:cstheme="minorHAnsi"/>
          <w:b/>
          <w:bCs/>
          <w:sz w:val="26"/>
          <w:szCs w:val="26"/>
        </w:rPr>
      </w:pPr>
      <w:sdt>
        <w:sdtPr>
          <w:rPr>
            <w:rFonts w:cstheme="minorHAnsi"/>
          </w:rPr>
          <w:id w:val="31198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D0">
        <w:rPr>
          <w:rFonts w:cstheme="minorHAnsi"/>
        </w:rPr>
        <w:t xml:space="preserve"> </w:t>
      </w:r>
      <w:r w:rsidR="00E644D0" w:rsidRPr="002D55BA">
        <w:rPr>
          <w:rFonts w:cstheme="minorHAnsi"/>
          <w:b/>
          <w:bCs/>
        </w:rPr>
        <w:t>Yes</w:t>
      </w:r>
      <w:r w:rsidR="00E644D0">
        <w:rPr>
          <w:rFonts w:cstheme="minorHAnsi"/>
        </w:rPr>
        <w:t xml:space="preserve"> </w:t>
      </w:r>
      <w:r w:rsidR="00E644D0" w:rsidRPr="00E644D0">
        <w:rPr>
          <w:rFonts w:cstheme="minorHAnsi"/>
        </w:rPr>
        <w:sym w:font="Wingdings" w:char="F0E0"/>
      </w:r>
      <w:r w:rsidR="00E644D0">
        <w:rPr>
          <w:rFonts w:cstheme="minorHAnsi"/>
        </w:rPr>
        <w:t xml:space="preserve"> Regardless of the overall study risk, a monitoring plan is required. Continue</w:t>
      </w:r>
      <w:r w:rsidR="00E644D0" w:rsidRPr="002D55BA">
        <w:rPr>
          <w:rFonts w:cstheme="minorHAnsi"/>
        </w:rPr>
        <w:t xml:space="preserve"> to </w:t>
      </w:r>
      <w:r w:rsidR="00E644D0">
        <w:rPr>
          <w:rFonts w:cstheme="minorHAnsi"/>
        </w:rPr>
        <w:t>#</w:t>
      </w:r>
      <w:r w:rsidR="00E644D0" w:rsidRPr="002D55BA">
        <w:rPr>
          <w:rFonts w:cstheme="minorHAnsi"/>
        </w:rPr>
        <w:t>1</w:t>
      </w:r>
      <w:r w:rsidR="00E644D0" w:rsidRPr="0036305B">
        <w:rPr>
          <w:rFonts w:cstheme="minorHAnsi"/>
          <w:b/>
          <w:bCs/>
        </w:rPr>
        <w:t xml:space="preserve">  </w:t>
      </w:r>
    </w:p>
    <w:p w14:paraId="4513F342" w14:textId="41AFA46D" w:rsidR="00E644D0" w:rsidRDefault="00630CCA" w:rsidP="002D55BA">
      <w:pPr>
        <w:ind w:left="270"/>
        <w:rPr>
          <w:rFonts w:cstheme="minorHAnsi"/>
        </w:rPr>
      </w:pPr>
      <w:sdt>
        <w:sdtPr>
          <w:rPr>
            <w:rFonts w:cstheme="minorHAnsi"/>
          </w:rPr>
          <w:id w:val="-22114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644D0">
        <w:rPr>
          <w:rFonts w:cstheme="minorHAnsi"/>
        </w:rPr>
        <w:t xml:space="preserve"> </w:t>
      </w:r>
      <w:r w:rsidR="00E644D0" w:rsidRPr="002D55BA">
        <w:rPr>
          <w:rFonts w:cstheme="minorHAnsi"/>
          <w:b/>
          <w:bCs/>
        </w:rPr>
        <w:t xml:space="preserve">No </w:t>
      </w:r>
      <w:r w:rsidR="00E644D0" w:rsidRPr="002D55BA">
        <w:rPr>
          <w:rFonts w:cstheme="minorHAnsi"/>
          <w:b/>
          <w:bCs/>
        </w:rPr>
        <w:sym w:font="Wingdings" w:char="F0E0"/>
      </w:r>
      <w:r w:rsidR="00E644D0" w:rsidRPr="002D55BA">
        <w:rPr>
          <w:rFonts w:cstheme="minorHAnsi"/>
          <w:b/>
          <w:bCs/>
        </w:rPr>
        <w:t xml:space="preserve"> </w:t>
      </w:r>
      <w:r w:rsidR="00943BE1" w:rsidRPr="00E644D0">
        <w:rPr>
          <w:rFonts w:cstheme="minorHAnsi"/>
          <w:b/>
          <w:bCs/>
        </w:rPr>
        <w:t>What is the overall study risk level</w:t>
      </w:r>
      <w:r w:rsidR="00247967" w:rsidRPr="00E644D0">
        <w:rPr>
          <w:rFonts w:cstheme="minorHAnsi"/>
          <w:b/>
          <w:bCs/>
        </w:rPr>
        <w:t>?</w:t>
      </w:r>
    </w:p>
    <w:p w14:paraId="07E0B590" w14:textId="74FAB47E" w:rsidR="00E644D0" w:rsidRDefault="00630CCA" w:rsidP="002D55BA">
      <w:pPr>
        <w:ind w:left="1710"/>
        <w:rPr>
          <w:rFonts w:cstheme="minorHAnsi"/>
        </w:rPr>
      </w:pPr>
      <w:sdt>
        <w:sdtPr>
          <w:rPr>
            <w:rFonts w:cstheme="minorHAnsi"/>
          </w:rPr>
          <w:id w:val="-162422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4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8503F">
        <w:rPr>
          <w:rFonts w:cstheme="minorHAnsi"/>
        </w:rPr>
        <w:t xml:space="preserve"> </w:t>
      </w:r>
      <w:r w:rsidR="00247967" w:rsidRPr="002D55BA">
        <w:rPr>
          <w:rFonts w:cstheme="minorHAnsi"/>
          <w:b/>
          <w:bCs/>
        </w:rPr>
        <w:t>No more than minimal risk</w:t>
      </w:r>
      <w:r w:rsidR="00E644D0">
        <w:rPr>
          <w:rFonts w:cstheme="minorHAnsi"/>
          <w:b/>
          <w:bCs/>
        </w:rPr>
        <w:t xml:space="preserve"> </w:t>
      </w:r>
      <w:r w:rsidR="00E644D0" w:rsidRPr="002D55BA">
        <w:rPr>
          <w:rFonts w:cstheme="minorHAnsi"/>
          <w:i/>
          <w:iCs/>
        </w:rPr>
        <w:t>(example: non-invasive sampling or imaging</w:t>
      </w:r>
      <w:r w:rsidR="000C7BC0">
        <w:rPr>
          <w:rFonts w:cstheme="minorHAnsi"/>
          <w:i/>
          <w:iCs/>
        </w:rPr>
        <w:t xml:space="preserve"> without contrast</w:t>
      </w:r>
      <w:r w:rsidR="00E644D0" w:rsidRPr="002D55BA">
        <w:rPr>
          <w:rFonts w:cstheme="minorHAnsi"/>
          <w:i/>
          <w:iCs/>
        </w:rPr>
        <w:t xml:space="preserve">, blood draws) </w:t>
      </w:r>
      <w:r w:rsidR="00313AB9" w:rsidRPr="00313AB9">
        <w:rPr>
          <w:rFonts w:cstheme="minorHAnsi"/>
        </w:rPr>
        <w:sym w:font="Wingdings" w:char="F0E0"/>
      </w:r>
      <w:r w:rsidR="00247967" w:rsidRPr="0098503F">
        <w:rPr>
          <w:rFonts w:cstheme="minorHAnsi"/>
        </w:rPr>
        <w:t xml:space="preserve"> </w:t>
      </w:r>
      <w:r w:rsidR="00E644D0">
        <w:rPr>
          <w:rFonts w:cstheme="minorHAnsi"/>
        </w:rPr>
        <w:t>The s</w:t>
      </w:r>
      <w:r w:rsidR="00247967" w:rsidRPr="0098503F">
        <w:rPr>
          <w:rFonts w:cstheme="minorHAnsi"/>
        </w:rPr>
        <w:t>tudy not required to follow DSMP guidance</w:t>
      </w:r>
      <w:r w:rsidR="005D7D9F">
        <w:rPr>
          <w:rFonts w:cstheme="minorHAnsi"/>
        </w:rPr>
        <w:t>.</w:t>
      </w:r>
      <w:r w:rsidR="00CC43BE">
        <w:rPr>
          <w:rFonts w:cstheme="minorHAnsi"/>
        </w:rPr>
        <w:t xml:space="preserve"> </w:t>
      </w:r>
      <w:r w:rsidR="00E644D0">
        <w:rPr>
          <w:rFonts w:cstheme="minorHAnsi"/>
        </w:rPr>
        <w:t>Stop here and upload a copy of this completed questionnaire with the study protocol.</w:t>
      </w:r>
    </w:p>
    <w:p w14:paraId="562DE97F" w14:textId="3C2D6F10" w:rsidR="00943BE1" w:rsidRPr="00DB0DB5" w:rsidRDefault="00630CCA" w:rsidP="002D55BA">
      <w:pPr>
        <w:pStyle w:val="ListParagraph"/>
        <w:ind w:left="1710"/>
        <w:rPr>
          <w:rFonts w:cstheme="minorHAnsi"/>
        </w:rPr>
      </w:pPr>
      <w:sdt>
        <w:sdtPr>
          <w:rPr>
            <w:rFonts w:cstheme="minorHAnsi"/>
          </w:rPr>
          <w:id w:val="170844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03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8503F">
        <w:rPr>
          <w:rFonts w:cstheme="minorHAnsi"/>
        </w:rPr>
        <w:t xml:space="preserve"> </w:t>
      </w:r>
      <w:r w:rsidR="00943BE1" w:rsidRPr="002D55BA">
        <w:rPr>
          <w:rFonts w:cstheme="minorHAnsi"/>
          <w:b/>
          <w:bCs/>
        </w:rPr>
        <w:t>M</w:t>
      </w:r>
      <w:r w:rsidR="00247967" w:rsidRPr="002D55BA">
        <w:rPr>
          <w:rFonts w:cstheme="minorHAnsi"/>
          <w:b/>
          <w:bCs/>
        </w:rPr>
        <w:t>ore than minimal risk</w:t>
      </w:r>
      <w:r w:rsidR="00247967" w:rsidRPr="00DB0DB5">
        <w:rPr>
          <w:rFonts w:cstheme="minorHAnsi"/>
        </w:rPr>
        <w:t xml:space="preserve"> </w:t>
      </w:r>
      <w:r w:rsidR="00313AB9" w:rsidRPr="00313AB9">
        <w:rPr>
          <w:rFonts w:cstheme="minorHAnsi"/>
        </w:rPr>
        <w:sym w:font="Wingdings" w:char="F0E0"/>
      </w:r>
      <w:r w:rsidR="00943BE1" w:rsidRPr="00DB0DB5">
        <w:rPr>
          <w:rFonts w:cstheme="minorHAnsi"/>
        </w:rPr>
        <w:t xml:space="preserve"> Continue </w:t>
      </w:r>
      <w:r w:rsidR="00247967" w:rsidRPr="00DB0DB5">
        <w:rPr>
          <w:rFonts w:cstheme="minorHAnsi"/>
        </w:rPr>
        <w:t>to #</w:t>
      </w:r>
      <w:r w:rsidR="004A7932">
        <w:rPr>
          <w:rFonts w:cstheme="minorHAnsi"/>
        </w:rPr>
        <w:t>1</w:t>
      </w:r>
    </w:p>
    <w:p w14:paraId="678A77EC" w14:textId="462787B4" w:rsidR="00943BE1" w:rsidRPr="00DB0DB5" w:rsidRDefault="00943BE1" w:rsidP="000A4198">
      <w:pPr>
        <w:pStyle w:val="ListParagraph"/>
        <w:ind w:left="1080"/>
        <w:rPr>
          <w:rFonts w:cstheme="minorHAnsi"/>
        </w:rPr>
      </w:pPr>
    </w:p>
    <w:p w14:paraId="542374F8" w14:textId="0F205C9E" w:rsidR="0098503F" w:rsidRPr="00A907D3" w:rsidRDefault="00247967" w:rsidP="00A907D3">
      <w:pPr>
        <w:pStyle w:val="ListParagraph"/>
        <w:numPr>
          <w:ilvl w:val="0"/>
          <w:numId w:val="9"/>
        </w:numPr>
        <w:spacing w:after="240"/>
        <w:rPr>
          <w:rFonts w:cstheme="minorHAnsi"/>
          <w:i/>
          <w:iCs/>
        </w:rPr>
      </w:pPr>
      <w:r w:rsidRPr="00DB0DB5">
        <w:rPr>
          <w:rFonts w:cstheme="minorHAnsi"/>
          <w:b/>
          <w:bCs/>
        </w:rPr>
        <w:t>Does the study involve:</w:t>
      </w:r>
      <w:r w:rsidR="00F16E61">
        <w:rPr>
          <w:rFonts w:cstheme="minorHAnsi"/>
          <w:b/>
          <w:bCs/>
        </w:rPr>
        <w:t xml:space="preserve"> </w:t>
      </w:r>
      <w:r w:rsidR="001904C5">
        <w:t>Invasive sample collection or imaging with contras</w:t>
      </w:r>
      <w:r w:rsidR="000E0BE2">
        <w:t>t</w:t>
      </w:r>
      <w:r w:rsidR="00F16E61">
        <w:t>?</w:t>
      </w:r>
      <w:r w:rsidR="00F16E61">
        <w:br/>
      </w:r>
      <w:r w:rsidRPr="00A907D3">
        <w:rPr>
          <w:i/>
          <w:iCs/>
        </w:rPr>
        <w:t>For example</w:t>
      </w:r>
      <w:r w:rsidR="00887B9E" w:rsidRPr="00A907D3">
        <w:rPr>
          <w:i/>
          <w:iCs/>
        </w:rPr>
        <w:t>:</w:t>
      </w:r>
      <w:r w:rsidRPr="00A907D3">
        <w:rPr>
          <w:i/>
          <w:iCs/>
        </w:rPr>
        <w:t xml:space="preserve"> studies involving an MRI with contrast</w:t>
      </w:r>
      <w:r w:rsidR="00887B9E" w:rsidRPr="00A907D3">
        <w:rPr>
          <w:i/>
          <w:iCs/>
        </w:rPr>
        <w:t xml:space="preserve">, </w:t>
      </w:r>
      <w:r w:rsidRPr="00A907D3">
        <w:rPr>
          <w:i/>
          <w:iCs/>
        </w:rPr>
        <w:t>bone marrow sample collection for research purposes, or CSF or biopsy material collection in the context of a clinical encounter</w:t>
      </w:r>
      <w:r w:rsidR="00887B9E" w:rsidRPr="00A907D3">
        <w:rPr>
          <w:i/>
          <w:iCs/>
        </w:rPr>
        <w:t>.</w:t>
      </w:r>
    </w:p>
    <w:p w14:paraId="5EE80433" w14:textId="3CBFA380" w:rsidR="00247967" w:rsidRPr="00DB0DB5" w:rsidRDefault="00630CCA" w:rsidP="000A4198">
      <w:pPr>
        <w:ind w:left="1440"/>
        <w:rPr>
          <w:rStyle w:val="Hyperlink"/>
        </w:rPr>
      </w:pPr>
      <w:sdt>
        <w:sdtPr>
          <w:rPr>
            <w:rFonts w:ascii="MS Gothic" w:eastAsia="MS Gothic" w:hAnsi="MS Gothic"/>
            <w:color w:val="0000FF"/>
            <w:u w:val="single"/>
          </w:rPr>
          <w:id w:val="83780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03F" w:rsidRPr="00887B9E">
            <w:rPr>
              <w:rFonts w:ascii="MS Gothic" w:eastAsia="MS Gothic" w:hAnsi="MS Gothic" w:hint="eastAsia"/>
            </w:rPr>
            <w:t>☐</w:t>
          </w:r>
        </w:sdtContent>
      </w:sdt>
      <w:r w:rsidR="0098503F">
        <w:t xml:space="preserve"> </w:t>
      </w:r>
      <w:r w:rsidR="00247967" w:rsidRPr="00A907D3">
        <w:rPr>
          <w:b/>
          <w:bCs/>
        </w:rPr>
        <w:t>Yes</w:t>
      </w:r>
      <w:r w:rsidR="00E644D0" w:rsidRPr="00A907D3">
        <w:rPr>
          <w:b/>
          <w:bCs/>
        </w:rPr>
        <w:t xml:space="preserve"> </w:t>
      </w:r>
      <w:r w:rsidR="00E644D0" w:rsidRPr="00A907D3">
        <w:rPr>
          <w:b/>
          <w:bCs/>
        </w:rPr>
        <w:sym w:font="Wingdings" w:char="F0E0"/>
      </w:r>
      <w:r w:rsidR="00247967" w:rsidRPr="00DB0DB5">
        <w:t xml:space="preserve"> </w:t>
      </w:r>
      <w:r w:rsidR="00E644D0">
        <w:t>T</w:t>
      </w:r>
      <w:r w:rsidR="00247967" w:rsidRPr="00DB0DB5">
        <w:t xml:space="preserve">his is a </w:t>
      </w:r>
      <w:r w:rsidR="00E644D0">
        <w:rPr>
          <w:i/>
          <w:iCs/>
        </w:rPr>
        <w:t>M</w:t>
      </w:r>
      <w:r w:rsidR="00247967" w:rsidRPr="002D55BA">
        <w:rPr>
          <w:i/>
          <w:iCs/>
        </w:rPr>
        <w:t xml:space="preserve">edium </w:t>
      </w:r>
      <w:r w:rsidR="00E644D0">
        <w:rPr>
          <w:i/>
          <w:iCs/>
        </w:rPr>
        <w:t>C</w:t>
      </w:r>
      <w:r w:rsidR="00247967" w:rsidRPr="002D55BA">
        <w:rPr>
          <w:i/>
          <w:iCs/>
        </w:rPr>
        <w:t xml:space="preserve">omplexity </w:t>
      </w:r>
      <w:r w:rsidR="00247967" w:rsidRPr="00E644D0">
        <w:t>study</w:t>
      </w:r>
      <w:r w:rsidR="00247967" w:rsidRPr="00DB0DB5">
        <w:t xml:space="preserve"> and should follow requirements in </w:t>
      </w:r>
      <w:hyperlink w:anchor="_Monitoring_Table_1" w:history="1">
        <w:r w:rsidR="00EC4D06">
          <w:rPr>
            <w:rStyle w:val="Hyperlink"/>
          </w:rPr>
          <w:t>Monitoring Table 1.</w:t>
        </w:r>
      </w:hyperlink>
      <w:r w:rsidR="00E644D0">
        <w:rPr>
          <w:rFonts w:cstheme="minorHAnsi"/>
        </w:rPr>
        <w:t xml:space="preserve"> Upload a copy of this completed questionnaire with the study protocol.</w:t>
      </w:r>
    </w:p>
    <w:p w14:paraId="05B459F5" w14:textId="3D45AB1E" w:rsidR="00247967" w:rsidRDefault="00630CCA" w:rsidP="000A4198">
      <w:pPr>
        <w:ind w:left="720" w:firstLine="720"/>
      </w:pPr>
      <w:sdt>
        <w:sdtPr>
          <w:id w:val="10353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03F">
            <w:rPr>
              <w:rFonts w:ascii="MS Gothic" w:eastAsia="MS Gothic" w:hAnsi="MS Gothic" w:hint="eastAsia"/>
            </w:rPr>
            <w:t>☐</w:t>
          </w:r>
        </w:sdtContent>
      </w:sdt>
      <w:r w:rsidR="0098503F">
        <w:t xml:space="preserve"> </w:t>
      </w:r>
      <w:r w:rsidR="00247967" w:rsidRPr="00A907D3">
        <w:rPr>
          <w:b/>
          <w:bCs/>
        </w:rPr>
        <w:t>No</w:t>
      </w:r>
      <w:r w:rsidR="00E644D0" w:rsidRPr="00A907D3">
        <w:rPr>
          <w:b/>
          <w:bCs/>
        </w:rPr>
        <w:t xml:space="preserve"> </w:t>
      </w:r>
      <w:r w:rsidR="00E644D0" w:rsidRPr="00A907D3">
        <w:rPr>
          <w:b/>
          <w:bCs/>
        </w:rPr>
        <w:sym w:font="Wingdings" w:char="F0E0"/>
      </w:r>
      <w:r w:rsidR="00247967" w:rsidRPr="00DB0DB5">
        <w:t xml:space="preserve"> Continue to #</w:t>
      </w:r>
      <w:r w:rsidR="004A7932">
        <w:t>2</w:t>
      </w:r>
    </w:p>
    <w:p w14:paraId="4F397452" w14:textId="10C531B0" w:rsidR="00247967" w:rsidRPr="004B6358" w:rsidRDefault="00247967" w:rsidP="000A4198">
      <w:pPr>
        <w:pStyle w:val="ListParagraph"/>
        <w:numPr>
          <w:ilvl w:val="0"/>
          <w:numId w:val="9"/>
        </w:numPr>
        <w:rPr>
          <w:b/>
          <w:bCs/>
        </w:rPr>
      </w:pPr>
      <w:r w:rsidRPr="004B6358">
        <w:rPr>
          <w:b/>
          <w:bCs/>
        </w:rPr>
        <w:t>Is the study</w:t>
      </w:r>
      <w:r w:rsidR="00F16E61">
        <w:rPr>
          <w:b/>
          <w:bCs/>
        </w:rPr>
        <w:t xml:space="preserve"> either</w:t>
      </w:r>
      <w:r w:rsidRPr="004B6358">
        <w:rPr>
          <w:b/>
          <w:bCs/>
        </w:rPr>
        <w:t>:</w:t>
      </w:r>
    </w:p>
    <w:p w14:paraId="43A89A1D" w14:textId="0366118A" w:rsidR="00247967" w:rsidRPr="004B6358" w:rsidRDefault="00247967" w:rsidP="000A4198">
      <w:pPr>
        <w:numPr>
          <w:ilvl w:val="0"/>
          <w:numId w:val="30"/>
        </w:numPr>
        <w:spacing w:after="0" w:line="240" w:lineRule="auto"/>
        <w:rPr>
          <w:rFonts w:eastAsia="Times New Roman"/>
          <w:i/>
          <w:iCs/>
        </w:rPr>
      </w:pPr>
      <w:r>
        <w:rPr>
          <w:rFonts w:eastAsia="Times New Roman"/>
        </w:rPr>
        <w:t>A Phase I/II/III trial (toxicity/safety/dose finding/effectiveness) under an IND or</w:t>
      </w:r>
      <w:r w:rsidR="00D26DAE">
        <w:rPr>
          <w:rFonts w:eastAsia="Times New Roman"/>
        </w:rPr>
        <w:t xml:space="preserve"> significant risk</w:t>
      </w:r>
      <w:r>
        <w:rPr>
          <w:rFonts w:eastAsia="Times New Roman"/>
        </w:rPr>
        <w:t xml:space="preserve"> IDE</w:t>
      </w:r>
      <w:r w:rsidR="00887B9E">
        <w:rPr>
          <w:rFonts w:eastAsia="Times New Roman"/>
        </w:rPr>
        <w:t xml:space="preserve"> </w:t>
      </w:r>
      <w:r w:rsidR="00887B9E" w:rsidRPr="002D55BA">
        <w:rPr>
          <w:rFonts w:eastAsia="Times New Roman"/>
          <w:b/>
          <w:bCs/>
          <w:i/>
          <w:iCs/>
          <w:u w:val="single"/>
        </w:rPr>
        <w:t>or</w:t>
      </w:r>
    </w:p>
    <w:p w14:paraId="362D2546" w14:textId="21D32BE5" w:rsidR="00247967" w:rsidRDefault="00F16E61" w:rsidP="00A907D3">
      <w:pPr>
        <w:numPr>
          <w:ilvl w:val="0"/>
          <w:numId w:val="30"/>
        </w:numPr>
        <w:spacing w:line="240" w:lineRule="auto"/>
        <w:rPr>
          <w:rFonts w:eastAsia="Times New Roman"/>
        </w:rPr>
      </w:pPr>
      <w:r>
        <w:rPr>
          <w:rFonts w:eastAsia="Times New Roman"/>
        </w:rPr>
        <w:t>A c</w:t>
      </w:r>
      <w:r w:rsidR="00247967">
        <w:rPr>
          <w:rFonts w:eastAsia="Times New Roman"/>
        </w:rPr>
        <w:t>linical stud</w:t>
      </w:r>
      <w:r w:rsidR="0070397A">
        <w:rPr>
          <w:rFonts w:eastAsia="Times New Roman"/>
        </w:rPr>
        <w:t>y</w:t>
      </w:r>
      <w:r w:rsidR="00247967">
        <w:rPr>
          <w:rFonts w:eastAsia="Times New Roman"/>
        </w:rPr>
        <w:t xml:space="preserve"> without an IND or IDE that the IRB determines is high</w:t>
      </w:r>
      <w:r w:rsidR="00887B9E">
        <w:rPr>
          <w:rFonts w:eastAsia="Times New Roman"/>
        </w:rPr>
        <w:t>-</w:t>
      </w:r>
      <w:r w:rsidR="00247967">
        <w:rPr>
          <w:rFonts w:eastAsia="Times New Roman"/>
        </w:rPr>
        <w:t>risk due to the procedures involved</w:t>
      </w:r>
      <w:r>
        <w:rPr>
          <w:rFonts w:eastAsia="Times New Roman"/>
        </w:rPr>
        <w:t>?</w:t>
      </w:r>
    </w:p>
    <w:p w14:paraId="206451F3" w14:textId="0D1A6905" w:rsidR="00247967" w:rsidRDefault="00630CCA" w:rsidP="002D55BA">
      <w:pPr>
        <w:pStyle w:val="ListParagraph"/>
        <w:spacing w:after="240"/>
        <w:ind w:left="1440"/>
        <w:contextualSpacing w:val="0"/>
      </w:pPr>
      <w:sdt>
        <w:sdtPr>
          <w:id w:val="-211590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03F">
            <w:rPr>
              <w:rFonts w:ascii="MS Gothic" w:eastAsia="MS Gothic" w:hAnsi="MS Gothic" w:hint="eastAsia"/>
            </w:rPr>
            <w:t>☐</w:t>
          </w:r>
        </w:sdtContent>
      </w:sdt>
      <w:r w:rsidR="0098503F">
        <w:t xml:space="preserve"> </w:t>
      </w:r>
      <w:r w:rsidR="00E644D0" w:rsidRPr="00A907D3">
        <w:rPr>
          <w:b/>
          <w:bCs/>
        </w:rPr>
        <w:t xml:space="preserve">Yes </w:t>
      </w:r>
      <w:r w:rsidR="00E644D0" w:rsidRPr="00A907D3">
        <w:rPr>
          <w:b/>
          <w:bCs/>
        </w:rPr>
        <w:sym w:font="Wingdings" w:char="F0E0"/>
      </w:r>
      <w:r w:rsidR="00E644D0" w:rsidRPr="00DB0DB5">
        <w:t xml:space="preserve"> </w:t>
      </w:r>
      <w:r w:rsidR="00E644D0">
        <w:t xml:space="preserve">This is a </w:t>
      </w:r>
      <w:r w:rsidR="00E644D0">
        <w:rPr>
          <w:i/>
          <w:iCs/>
        </w:rPr>
        <w:t>H</w:t>
      </w:r>
      <w:r w:rsidR="00247967" w:rsidRPr="002D55BA">
        <w:rPr>
          <w:i/>
          <w:iCs/>
        </w:rPr>
        <w:t xml:space="preserve">igh </w:t>
      </w:r>
      <w:r w:rsidR="00E644D0">
        <w:rPr>
          <w:i/>
          <w:iCs/>
        </w:rPr>
        <w:t>C</w:t>
      </w:r>
      <w:r w:rsidR="00247967" w:rsidRPr="002D55BA">
        <w:rPr>
          <w:i/>
          <w:iCs/>
        </w:rPr>
        <w:t>omplexity</w:t>
      </w:r>
      <w:r w:rsidR="00E644D0" w:rsidRPr="002D55BA">
        <w:rPr>
          <w:i/>
          <w:iCs/>
        </w:rPr>
        <w:t>,</w:t>
      </w:r>
      <w:r w:rsidR="00247967" w:rsidRPr="002D55BA">
        <w:rPr>
          <w:i/>
          <w:iCs/>
        </w:rPr>
        <w:t xml:space="preserve"> </w:t>
      </w:r>
      <w:r w:rsidR="004B6358" w:rsidRPr="002D55BA">
        <w:rPr>
          <w:i/>
          <w:iCs/>
        </w:rPr>
        <w:t>Category A</w:t>
      </w:r>
      <w:r w:rsidR="004B6358">
        <w:t xml:space="preserve"> </w:t>
      </w:r>
      <w:r w:rsidR="00E644D0">
        <w:t xml:space="preserve">study </w:t>
      </w:r>
      <w:r w:rsidR="00247967">
        <w:t xml:space="preserve">and will need to follow the requirements of </w:t>
      </w:r>
      <w:hyperlink w:anchor="_Monitoring_Table_2" w:history="1">
        <w:r w:rsidR="00735F4F">
          <w:rPr>
            <w:rStyle w:val="Hyperlink"/>
          </w:rPr>
          <w:t>Monitoring Table 2.</w:t>
        </w:r>
      </w:hyperlink>
      <w:r w:rsidR="00E644D0" w:rsidRPr="00E644D0">
        <w:rPr>
          <w:rFonts w:cstheme="minorHAnsi"/>
        </w:rPr>
        <w:t xml:space="preserve"> </w:t>
      </w:r>
      <w:r w:rsidR="00E644D0">
        <w:rPr>
          <w:rFonts w:cstheme="minorHAnsi"/>
        </w:rPr>
        <w:t>Upload a copy of this completed questionnaire with the study protocol.</w:t>
      </w:r>
    </w:p>
    <w:p w14:paraId="2C736FAF" w14:textId="0812853B" w:rsidR="00247967" w:rsidRDefault="00630CCA" w:rsidP="002D55BA">
      <w:pPr>
        <w:pStyle w:val="ListParagraph"/>
        <w:ind w:left="1440"/>
        <w:contextualSpacing w:val="0"/>
      </w:pPr>
      <w:sdt>
        <w:sdtPr>
          <w:id w:val="-98693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03F">
            <w:rPr>
              <w:rFonts w:ascii="MS Gothic" w:eastAsia="MS Gothic" w:hAnsi="MS Gothic" w:hint="eastAsia"/>
            </w:rPr>
            <w:t>☐</w:t>
          </w:r>
        </w:sdtContent>
      </w:sdt>
      <w:r w:rsidR="0098503F">
        <w:t xml:space="preserve"> </w:t>
      </w:r>
      <w:r w:rsidR="00E644D0" w:rsidRPr="00A907D3">
        <w:rPr>
          <w:b/>
          <w:bCs/>
        </w:rPr>
        <w:t xml:space="preserve">No </w:t>
      </w:r>
      <w:r w:rsidR="00E644D0" w:rsidRPr="00A907D3">
        <w:rPr>
          <w:b/>
          <w:bCs/>
        </w:rPr>
        <w:sym w:font="Wingdings" w:char="F0E0"/>
      </w:r>
      <w:r w:rsidR="00E644D0" w:rsidRPr="00DB0DB5">
        <w:t xml:space="preserve"> </w:t>
      </w:r>
      <w:r w:rsidR="00247967">
        <w:t>Continue to #</w:t>
      </w:r>
      <w:r w:rsidR="004A7932">
        <w:t>3</w:t>
      </w:r>
    </w:p>
    <w:p w14:paraId="0C667BE0" w14:textId="52AAF1AD" w:rsidR="00247967" w:rsidRDefault="00247967" w:rsidP="000A4198">
      <w:pPr>
        <w:pStyle w:val="ListParagraph"/>
        <w:ind w:left="1080"/>
      </w:pPr>
    </w:p>
    <w:p w14:paraId="0306679F" w14:textId="6B0C4162" w:rsidR="00247967" w:rsidRPr="004B6358" w:rsidRDefault="00247967" w:rsidP="000A4198">
      <w:pPr>
        <w:pStyle w:val="ListParagraph"/>
        <w:numPr>
          <w:ilvl w:val="0"/>
          <w:numId w:val="9"/>
        </w:numPr>
        <w:rPr>
          <w:b/>
          <w:bCs/>
        </w:rPr>
      </w:pPr>
      <w:r w:rsidRPr="004B6358">
        <w:rPr>
          <w:b/>
          <w:bCs/>
        </w:rPr>
        <w:t>Is the study</w:t>
      </w:r>
      <w:r w:rsidR="00F16E61">
        <w:rPr>
          <w:b/>
          <w:bCs/>
        </w:rPr>
        <w:t xml:space="preserve"> one of the following?</w:t>
      </w:r>
    </w:p>
    <w:p w14:paraId="55D47F4F" w14:textId="293AB30E" w:rsidR="004B6358" w:rsidRPr="00A907D3" w:rsidRDefault="004B6358" w:rsidP="00A907D3">
      <w:pPr>
        <w:numPr>
          <w:ilvl w:val="0"/>
          <w:numId w:val="30"/>
        </w:numPr>
        <w:spacing w:after="120" w:line="240" w:lineRule="auto"/>
        <w:rPr>
          <w:rFonts w:eastAsia="Times New Roman"/>
          <w:i/>
          <w:iCs/>
        </w:rPr>
      </w:pPr>
      <w:r>
        <w:rPr>
          <w:rFonts w:eastAsia="Times New Roman"/>
        </w:rPr>
        <w:t>A clinical trial using a drug or device under its FDA-approved indication</w:t>
      </w:r>
      <w:r w:rsidR="00F16E61">
        <w:rPr>
          <w:rFonts w:eastAsia="Times New Roman"/>
        </w:rPr>
        <w:t>.</w:t>
      </w:r>
      <w:r w:rsidR="00F16E61">
        <w:rPr>
          <w:rFonts w:eastAsia="Times New Roman"/>
        </w:rPr>
        <w:br/>
      </w:r>
      <w:r w:rsidRPr="00A907D3">
        <w:rPr>
          <w:rFonts w:eastAsia="Times New Roman"/>
          <w:i/>
          <w:iCs/>
        </w:rPr>
        <w:t>For example</w:t>
      </w:r>
      <w:r w:rsidR="00F16E61" w:rsidRPr="00A907D3">
        <w:rPr>
          <w:rFonts w:eastAsia="Times New Roman"/>
          <w:i/>
          <w:iCs/>
        </w:rPr>
        <w:t>:</w:t>
      </w:r>
      <w:r w:rsidR="00F16E61">
        <w:rPr>
          <w:rFonts w:eastAsia="Times New Roman"/>
          <w:i/>
          <w:iCs/>
        </w:rPr>
        <w:t xml:space="preserve"> </w:t>
      </w:r>
      <w:r w:rsidR="00F16E61" w:rsidRPr="00A907D3">
        <w:rPr>
          <w:rFonts w:eastAsia="Times New Roman"/>
          <w:i/>
          <w:iCs/>
        </w:rPr>
        <w:t>A</w:t>
      </w:r>
      <w:r w:rsidRPr="00A907D3">
        <w:rPr>
          <w:rFonts w:eastAsia="Times New Roman"/>
          <w:i/>
          <w:iCs/>
        </w:rPr>
        <w:t xml:space="preserve"> comparative effectiveness trial of two standard-of-care interventions</w:t>
      </w:r>
    </w:p>
    <w:p w14:paraId="5424E705" w14:textId="618C63F0" w:rsidR="004B6358" w:rsidRDefault="00F16E61" w:rsidP="00A907D3">
      <w:pPr>
        <w:numPr>
          <w:ilvl w:val="0"/>
          <w:numId w:val="30"/>
        </w:numPr>
        <w:spacing w:after="120" w:line="240" w:lineRule="auto"/>
        <w:rPr>
          <w:rFonts w:eastAsia="Times New Roman"/>
        </w:rPr>
      </w:pPr>
      <w:r>
        <w:rPr>
          <w:rFonts w:eastAsia="Times New Roman"/>
        </w:rPr>
        <w:t>Expected to be</w:t>
      </w:r>
      <w:r w:rsidR="004B6358">
        <w:rPr>
          <w:rFonts w:eastAsia="Times New Roman"/>
        </w:rPr>
        <w:t xml:space="preserve"> IND/IDE </w:t>
      </w:r>
      <w:r>
        <w:rPr>
          <w:rFonts w:eastAsia="Times New Roman"/>
        </w:rPr>
        <w:t>E</w:t>
      </w:r>
      <w:r w:rsidR="004B6358">
        <w:rPr>
          <w:rFonts w:eastAsia="Times New Roman"/>
        </w:rPr>
        <w:t xml:space="preserve">xempt or under an </w:t>
      </w:r>
      <w:r>
        <w:rPr>
          <w:rFonts w:eastAsia="Times New Roman"/>
        </w:rPr>
        <w:t>A</w:t>
      </w:r>
      <w:r w:rsidR="004B6358">
        <w:rPr>
          <w:rFonts w:eastAsia="Times New Roman"/>
        </w:rPr>
        <w:t>bbreviated IDE without other interventions that elevate the study to Category A</w:t>
      </w:r>
      <w:r>
        <w:rPr>
          <w:rFonts w:eastAsia="Times New Roman"/>
        </w:rPr>
        <w:t>.</w:t>
      </w:r>
    </w:p>
    <w:p w14:paraId="0308FC4D" w14:textId="6774F003" w:rsidR="00735F4F" w:rsidRPr="00A907D3" w:rsidRDefault="00F16E61" w:rsidP="00A907D3">
      <w:pPr>
        <w:numPr>
          <w:ilvl w:val="0"/>
          <w:numId w:val="30"/>
        </w:numPr>
        <w:spacing w:after="120" w:line="240" w:lineRule="auto"/>
        <w:rPr>
          <w:i/>
          <w:iCs/>
        </w:rPr>
      </w:pPr>
      <w:r>
        <w:rPr>
          <w:rFonts w:eastAsia="Times New Roman"/>
        </w:rPr>
        <w:t>U</w:t>
      </w:r>
      <w:r w:rsidR="00735F4F" w:rsidRPr="002D55BA">
        <w:rPr>
          <w:rFonts w:eastAsia="Times New Roman"/>
        </w:rPr>
        <w:t>nder an IND where the intervention does not pose significant risk to the participants</w:t>
      </w:r>
      <w:r>
        <w:rPr>
          <w:rFonts w:eastAsia="Times New Roman"/>
        </w:rPr>
        <w:t>.</w:t>
      </w:r>
      <w:r w:rsidRPr="00A907D3">
        <w:rPr>
          <w:rFonts w:eastAsia="Times New Roman"/>
          <w:i/>
          <w:iCs/>
        </w:rPr>
        <w:t xml:space="preserve"> </w:t>
      </w:r>
      <w:r w:rsidR="00735F4F" w:rsidRPr="00F16E61">
        <w:rPr>
          <w:rFonts w:eastAsia="Times New Roman"/>
        </w:rPr>
        <w:t>These studies may use a drug (approved or not) that does not significantly increase morbidity or mortality</w:t>
      </w:r>
      <w:r w:rsidR="00E644D0" w:rsidRPr="00F16E61">
        <w:rPr>
          <w:rFonts w:eastAsia="Times New Roman"/>
        </w:rPr>
        <w:br/>
      </w:r>
      <w:r w:rsidR="00735F4F" w:rsidRPr="002D55BA">
        <w:rPr>
          <w:rFonts w:eastAsia="Times New Roman"/>
          <w:i/>
          <w:iCs/>
        </w:rPr>
        <w:t>For example</w:t>
      </w:r>
      <w:r w:rsidR="00E644D0" w:rsidRPr="002D55BA">
        <w:rPr>
          <w:rFonts w:eastAsia="Times New Roman"/>
          <w:i/>
          <w:iCs/>
        </w:rPr>
        <w:t>:</w:t>
      </w:r>
      <w:r w:rsidR="00735F4F" w:rsidRPr="002D55BA">
        <w:rPr>
          <w:rFonts w:eastAsia="Times New Roman"/>
          <w:i/>
          <w:iCs/>
        </w:rPr>
        <w:t xml:space="preserve"> </w:t>
      </w:r>
      <w:r w:rsidR="00E644D0" w:rsidRPr="002D55BA">
        <w:rPr>
          <w:rFonts w:eastAsia="Times New Roman"/>
          <w:i/>
          <w:iCs/>
        </w:rPr>
        <w:t>A</w:t>
      </w:r>
      <w:r w:rsidR="00735F4F" w:rsidRPr="002D55BA">
        <w:rPr>
          <w:rFonts w:eastAsia="Times New Roman"/>
          <w:i/>
          <w:iCs/>
        </w:rPr>
        <w:t xml:space="preserve"> radiotracer study where the risk is limited to a single scan</w:t>
      </w:r>
    </w:p>
    <w:p w14:paraId="7D53BAF8" w14:textId="0C288E51" w:rsidR="005448EC" w:rsidRPr="002D55BA" w:rsidRDefault="00F16E61" w:rsidP="00A907D3">
      <w:pPr>
        <w:numPr>
          <w:ilvl w:val="0"/>
          <w:numId w:val="30"/>
        </w:numPr>
        <w:spacing w:after="120" w:line="240" w:lineRule="auto"/>
        <w:rPr>
          <w:i/>
          <w:iCs/>
        </w:rPr>
      </w:pPr>
      <w:r>
        <w:rPr>
          <w:rFonts w:eastAsia="Times New Roman"/>
        </w:rPr>
        <w:t xml:space="preserve">Using </w:t>
      </w:r>
      <w:r w:rsidR="005448EC">
        <w:rPr>
          <w:rFonts w:eastAsia="Times New Roman"/>
        </w:rPr>
        <w:t xml:space="preserve">software or </w:t>
      </w:r>
      <w:r>
        <w:rPr>
          <w:rFonts w:eastAsia="Times New Roman"/>
        </w:rPr>
        <w:t xml:space="preserve">an </w:t>
      </w:r>
      <w:r w:rsidR="005448EC">
        <w:rPr>
          <w:rFonts w:eastAsia="Times New Roman"/>
        </w:rPr>
        <w:t>algorithm that may potentially inform clinical care</w:t>
      </w:r>
      <w:r>
        <w:rPr>
          <w:rFonts w:eastAsia="Times New Roman"/>
        </w:rPr>
        <w:t xml:space="preserve"> without other interventions that elevate the study to Category A. </w:t>
      </w:r>
    </w:p>
    <w:p w14:paraId="3AE4E347" w14:textId="51E44B4A" w:rsidR="004B6358" w:rsidRDefault="00630CCA" w:rsidP="002D55BA">
      <w:pPr>
        <w:pStyle w:val="ListParagraph"/>
        <w:spacing w:after="120"/>
        <w:ind w:left="1440"/>
        <w:contextualSpacing w:val="0"/>
      </w:pPr>
      <w:sdt>
        <w:sdtPr>
          <w:id w:val="-144899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CA9" w:rsidRPr="00EF0CA9">
            <w:rPr>
              <w:rFonts w:ascii="MS Gothic" w:eastAsia="MS Gothic" w:hAnsi="MS Gothic" w:hint="eastAsia"/>
            </w:rPr>
            <w:t>☐</w:t>
          </w:r>
        </w:sdtContent>
      </w:sdt>
      <w:r w:rsidR="0098503F">
        <w:t xml:space="preserve"> </w:t>
      </w:r>
      <w:r w:rsidR="00E644D0" w:rsidRPr="00A907D3">
        <w:rPr>
          <w:b/>
          <w:bCs/>
        </w:rPr>
        <w:t xml:space="preserve">Yes </w:t>
      </w:r>
      <w:r w:rsidR="00E644D0" w:rsidRPr="00A907D3">
        <w:rPr>
          <w:b/>
          <w:bCs/>
        </w:rPr>
        <w:sym w:font="Wingdings" w:char="F0E0"/>
      </w:r>
      <w:r w:rsidR="00E644D0" w:rsidRPr="00DB0DB5">
        <w:t xml:space="preserve"> </w:t>
      </w:r>
      <w:r w:rsidR="00E644D0">
        <w:t>T</w:t>
      </w:r>
      <w:r w:rsidR="004B6358">
        <w:t xml:space="preserve">his is </w:t>
      </w:r>
      <w:r w:rsidR="00E644D0">
        <w:t xml:space="preserve">a </w:t>
      </w:r>
      <w:r w:rsidR="00E644D0">
        <w:rPr>
          <w:i/>
          <w:iCs/>
        </w:rPr>
        <w:t>H</w:t>
      </w:r>
      <w:r w:rsidR="004B6358" w:rsidRPr="002D55BA">
        <w:rPr>
          <w:i/>
          <w:iCs/>
        </w:rPr>
        <w:t xml:space="preserve">igh </w:t>
      </w:r>
      <w:r w:rsidR="00E644D0">
        <w:rPr>
          <w:i/>
          <w:iCs/>
        </w:rPr>
        <w:t>C</w:t>
      </w:r>
      <w:r w:rsidR="004B6358" w:rsidRPr="002D55BA">
        <w:rPr>
          <w:i/>
          <w:iCs/>
        </w:rPr>
        <w:t>omplexity</w:t>
      </w:r>
      <w:r w:rsidR="00E644D0" w:rsidRPr="002D55BA">
        <w:rPr>
          <w:i/>
          <w:iCs/>
        </w:rPr>
        <w:t>,</w:t>
      </w:r>
      <w:r w:rsidR="004B6358" w:rsidRPr="002D55BA">
        <w:rPr>
          <w:i/>
          <w:iCs/>
        </w:rPr>
        <w:t xml:space="preserve"> Category </w:t>
      </w:r>
      <w:r w:rsidR="00735F4F" w:rsidRPr="002D55BA">
        <w:rPr>
          <w:i/>
          <w:iCs/>
        </w:rPr>
        <w:t>B</w:t>
      </w:r>
      <w:r w:rsidR="004B6358">
        <w:t xml:space="preserve"> </w:t>
      </w:r>
      <w:r w:rsidR="00E644D0">
        <w:t xml:space="preserve">study </w:t>
      </w:r>
      <w:r w:rsidR="004B6358">
        <w:t xml:space="preserve">and will need to follow the requirements of </w:t>
      </w:r>
      <w:hyperlink w:anchor="_Monitoring_Table_3" w:history="1">
        <w:r w:rsidR="00735F4F">
          <w:rPr>
            <w:rStyle w:val="Hyperlink"/>
          </w:rPr>
          <w:t>Monitoring Table 3.</w:t>
        </w:r>
      </w:hyperlink>
      <w:r w:rsidR="00E644D0" w:rsidRPr="00E644D0">
        <w:rPr>
          <w:rFonts w:cstheme="minorHAnsi"/>
        </w:rPr>
        <w:t xml:space="preserve"> </w:t>
      </w:r>
      <w:r w:rsidR="00E644D0">
        <w:rPr>
          <w:rFonts w:cstheme="minorHAnsi"/>
        </w:rPr>
        <w:t>Upload a copy of this completed questionnaire with the study protocol.</w:t>
      </w:r>
    </w:p>
    <w:p w14:paraId="262A836E" w14:textId="13A3866C" w:rsidR="004B6358" w:rsidRPr="004B6358" w:rsidRDefault="00630CCA" w:rsidP="002D55BA">
      <w:pPr>
        <w:pStyle w:val="ListParagraph"/>
        <w:spacing w:after="120"/>
        <w:ind w:left="1440"/>
        <w:contextualSpacing w:val="0"/>
      </w:pPr>
      <w:sdt>
        <w:sdtPr>
          <w:id w:val="1920445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03F">
            <w:rPr>
              <w:rFonts w:ascii="MS Gothic" w:eastAsia="MS Gothic" w:hAnsi="MS Gothic" w:hint="eastAsia"/>
            </w:rPr>
            <w:t>☐</w:t>
          </w:r>
        </w:sdtContent>
      </w:sdt>
      <w:r w:rsidR="0098503F">
        <w:t xml:space="preserve"> </w:t>
      </w:r>
      <w:r w:rsidR="00E644D0" w:rsidRPr="00A907D3">
        <w:rPr>
          <w:b/>
          <w:bCs/>
        </w:rPr>
        <w:t xml:space="preserve">No </w:t>
      </w:r>
      <w:r w:rsidR="00E644D0" w:rsidRPr="00A907D3">
        <w:rPr>
          <w:b/>
          <w:bCs/>
        </w:rPr>
        <w:sym w:font="Wingdings" w:char="F0E0"/>
      </w:r>
      <w:r w:rsidR="00E644D0" w:rsidRPr="00DB0DB5">
        <w:t xml:space="preserve"> </w:t>
      </w:r>
      <w:r w:rsidR="004B6358">
        <w:t xml:space="preserve">Please send an email to </w:t>
      </w:r>
      <w:hyperlink r:id="rId7" w:history="1">
        <w:r w:rsidR="004B6358" w:rsidRPr="00682093">
          <w:rPr>
            <w:rStyle w:val="Hyperlink"/>
          </w:rPr>
          <w:t>irb@emory.edu</w:t>
        </w:r>
      </w:hyperlink>
      <w:r w:rsidR="004B6358">
        <w:t xml:space="preserve"> to schedule a time to speak with IRB staff for assistance in determining DSMP requirements for your study. </w:t>
      </w:r>
    </w:p>
    <w:p w14:paraId="341BAA67" w14:textId="77777777" w:rsidR="00F16E61" w:rsidRDefault="00F16E61" w:rsidP="00F16E61">
      <w:pPr>
        <w:sectPr w:rsidR="00F16E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24CDB8" w14:textId="465C60DC" w:rsidR="00943BE1" w:rsidRDefault="00EC4D06" w:rsidP="00F16E61">
      <w:pPr>
        <w:pStyle w:val="Heading1"/>
      </w:pPr>
      <w:bookmarkStart w:id="0" w:name="_Appendix_1"/>
      <w:bookmarkStart w:id="1" w:name="_Monitoring_Table_1"/>
      <w:bookmarkEnd w:id="0"/>
      <w:bookmarkEnd w:id="1"/>
      <w:r>
        <w:lastRenderedPageBreak/>
        <w:t>Monitoring Table</w:t>
      </w:r>
      <w:r w:rsidR="005063AE">
        <w:t xml:space="preserve"> 1</w:t>
      </w:r>
    </w:p>
    <w:p w14:paraId="5D17353D" w14:textId="0359C740" w:rsidR="00F16E61" w:rsidRDefault="00F16E61" w:rsidP="00DB1299">
      <w:pPr>
        <w:rPr>
          <w:rFonts w:cstheme="minorHAnsi"/>
        </w:rPr>
      </w:pPr>
      <w:r>
        <w:rPr>
          <w:rFonts w:cstheme="minorHAnsi"/>
        </w:rPr>
        <w:t>A</w:t>
      </w:r>
      <w:r w:rsidR="00943BE1" w:rsidRPr="00DB1299">
        <w:rPr>
          <w:rFonts w:cstheme="minorHAnsi"/>
        </w:rPr>
        <w:t>ddress the specific details below</w:t>
      </w:r>
      <w:r w:rsidR="008F4839">
        <w:rPr>
          <w:rFonts w:cstheme="minorHAnsi"/>
        </w:rPr>
        <w:t xml:space="preserve"> even </w:t>
      </w:r>
      <w:r w:rsidR="0070397A">
        <w:rPr>
          <w:rFonts w:cstheme="minorHAnsi"/>
        </w:rPr>
        <w:t>where</w:t>
      </w:r>
      <w:r w:rsidR="008F4839">
        <w:rPr>
          <w:rFonts w:cstheme="minorHAnsi"/>
        </w:rPr>
        <w:t xml:space="preserve"> there is template text present</w:t>
      </w:r>
      <w:r w:rsidR="00943BE1" w:rsidRPr="00DB1299">
        <w:rPr>
          <w:rFonts w:cstheme="minorHAnsi"/>
        </w:rPr>
        <w:t xml:space="preserve">. </w:t>
      </w:r>
      <w:r>
        <w:rPr>
          <w:rFonts w:cstheme="minorHAnsi"/>
        </w:rPr>
        <w:t>Please read the guidance in the gray row first to help inform the plan details. Do not edit any pre-populated answers as these are the IRB’s expectations.</w:t>
      </w:r>
    </w:p>
    <w:p w14:paraId="52CE411C" w14:textId="2391B326" w:rsidR="00943BE1" w:rsidRPr="00DB1299" w:rsidRDefault="00943BE1" w:rsidP="00DB1299">
      <w:pPr>
        <w:rPr>
          <w:rFonts w:cstheme="minorHAnsi"/>
        </w:rPr>
      </w:pPr>
      <w:r w:rsidRPr="00DB1299">
        <w:rPr>
          <w:rFonts w:cstheme="minorHAnsi"/>
        </w:rPr>
        <w:t xml:space="preserve">If </w:t>
      </w:r>
      <w:r w:rsidR="00F16E61">
        <w:rPr>
          <w:rFonts w:cstheme="minorHAnsi"/>
        </w:rPr>
        <w:t xml:space="preserve">a requirement is </w:t>
      </w:r>
      <w:r w:rsidRPr="00DB1299">
        <w:rPr>
          <w:rFonts w:cstheme="minorHAnsi"/>
        </w:rPr>
        <w:t>not applicable, please provide rationale</w:t>
      </w:r>
      <w:r w:rsidR="00DB0DB5">
        <w:rPr>
          <w:rFonts w:cstheme="minorHAnsi"/>
        </w:rPr>
        <w:t>.</w:t>
      </w:r>
      <w:r w:rsidR="00755EA8">
        <w:rPr>
          <w:rFonts w:cstheme="minorHAnsi"/>
        </w:rPr>
        <w:t xml:space="preserve"> Note that the identified monitor(s) should be listed on the study’s delegation of authority log. </w:t>
      </w:r>
    </w:p>
    <w:p w14:paraId="2DCECF70" w14:textId="77777777" w:rsidR="000E4037" w:rsidRPr="0020579F" w:rsidRDefault="000E4037" w:rsidP="000E4037">
      <w:pPr>
        <w:pStyle w:val="ListParagraph"/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4"/>
        <w:gridCol w:w="3621"/>
        <w:gridCol w:w="3181"/>
        <w:gridCol w:w="2914"/>
      </w:tblGrid>
      <w:tr w:rsidR="00BD782A" w14:paraId="0EA81C38" w14:textId="1A1BB303" w:rsidTr="00A907D3">
        <w:tc>
          <w:tcPr>
            <w:tcW w:w="1249" w:type="pct"/>
          </w:tcPr>
          <w:p w14:paraId="7D9F25C4" w14:textId="65A927D7" w:rsidR="005063AE" w:rsidRPr="005063AE" w:rsidRDefault="005063AE" w:rsidP="00FE5866">
            <w:pPr>
              <w:rPr>
                <w:b/>
                <w:bCs/>
              </w:rPr>
            </w:pPr>
            <w:r w:rsidRPr="005063AE">
              <w:rPr>
                <w:b/>
                <w:bCs/>
              </w:rPr>
              <w:t xml:space="preserve">DSMP </w:t>
            </w:r>
            <w:r>
              <w:rPr>
                <w:b/>
                <w:bCs/>
              </w:rPr>
              <w:t>Requirement</w:t>
            </w:r>
          </w:p>
        </w:tc>
        <w:tc>
          <w:tcPr>
            <w:tcW w:w="1398" w:type="pct"/>
          </w:tcPr>
          <w:p w14:paraId="5D78D1E7" w14:textId="08185BC8" w:rsidR="005063AE" w:rsidRPr="005063AE" w:rsidRDefault="005063AE" w:rsidP="00FE586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this Requirement is Met </w:t>
            </w:r>
          </w:p>
        </w:tc>
        <w:tc>
          <w:tcPr>
            <w:tcW w:w="1228" w:type="pct"/>
          </w:tcPr>
          <w:p w14:paraId="7F1974F0" w14:textId="5DF18933" w:rsidR="005063AE" w:rsidRPr="005063AE" w:rsidRDefault="005063AE" w:rsidP="00FE5866">
            <w:pPr>
              <w:rPr>
                <w:b/>
                <w:bCs/>
              </w:rPr>
            </w:pPr>
            <w:r w:rsidRPr="005063AE">
              <w:rPr>
                <w:b/>
                <w:bCs/>
              </w:rPr>
              <w:t>Frequency</w:t>
            </w:r>
          </w:p>
        </w:tc>
        <w:tc>
          <w:tcPr>
            <w:tcW w:w="1125" w:type="pct"/>
          </w:tcPr>
          <w:p w14:paraId="33AF2C4B" w14:textId="1D9B6418" w:rsidR="005063AE" w:rsidRPr="005063AE" w:rsidRDefault="005063AE" w:rsidP="00FE5866">
            <w:pPr>
              <w:rPr>
                <w:b/>
                <w:bCs/>
              </w:rPr>
            </w:pPr>
            <w:r w:rsidRPr="005063AE">
              <w:rPr>
                <w:b/>
                <w:bCs/>
              </w:rPr>
              <w:t>Responsible Party</w:t>
            </w:r>
            <w:r w:rsidR="00785B35">
              <w:rPr>
                <w:b/>
                <w:bCs/>
              </w:rPr>
              <w:t>(ies)</w:t>
            </w:r>
          </w:p>
        </w:tc>
      </w:tr>
      <w:tr w:rsidR="00A53BE0" w14:paraId="57382E31" w14:textId="56A413FC" w:rsidTr="00A907D3">
        <w:tc>
          <w:tcPr>
            <w:tcW w:w="1249" w:type="pct"/>
            <w:shd w:val="clear" w:color="auto" w:fill="D9D9D9" w:themeFill="background1" w:themeFillShade="D9"/>
          </w:tcPr>
          <w:p w14:paraId="35CBE419" w14:textId="2F52D604" w:rsidR="00CC39FC" w:rsidRDefault="005063AE" w:rsidP="003D3C3F">
            <w:r>
              <w:t>Site Monitoring at pre-determined intervals: The Principal Investigator has a responsibility to ensure that the study is following all aspects of the protocol.</w:t>
            </w:r>
            <w:r w:rsidR="00CC39FC">
              <w:t xml:space="preserve"> </w:t>
            </w:r>
          </w:p>
          <w:p w14:paraId="28E971B3" w14:textId="69FA6161" w:rsidR="005063AE" w:rsidRDefault="005063AE" w:rsidP="00FE5866"/>
          <w:p w14:paraId="4AB17B19" w14:textId="64E73A35" w:rsidR="005063AE" w:rsidRDefault="005063AE" w:rsidP="005063AE">
            <w:pPr>
              <w:ind w:left="720"/>
            </w:pPr>
          </w:p>
        </w:tc>
        <w:tc>
          <w:tcPr>
            <w:tcW w:w="1398" w:type="pct"/>
            <w:shd w:val="clear" w:color="auto" w:fill="D9D9D9" w:themeFill="background1" w:themeFillShade="D9"/>
          </w:tcPr>
          <w:p w14:paraId="1A25A19B" w14:textId="77777777" w:rsidR="00313AB9" w:rsidRDefault="0063090C" w:rsidP="00BD782A">
            <w:pPr>
              <w:rPr>
                <w:i/>
                <w:iCs/>
              </w:rPr>
            </w:pPr>
            <w:r w:rsidRPr="0063090C">
              <w:rPr>
                <w:i/>
                <w:iCs/>
              </w:rPr>
              <w:t xml:space="preserve">There should be a standard operating procedure to review data (whether a sample or 100%) at pre-determined intervals to ensure that there is adequate documentation of critical elements such as eligibility criteria. </w:t>
            </w:r>
          </w:p>
          <w:p w14:paraId="15CC3C76" w14:textId="20E82389" w:rsidR="00BD782A" w:rsidRPr="00BD782A" w:rsidRDefault="00BD782A" w:rsidP="002D55BA">
            <w:pPr>
              <w:pStyle w:val="ListParagraph"/>
              <w:rPr>
                <w:i/>
                <w:iCs/>
              </w:rPr>
            </w:pPr>
          </w:p>
        </w:tc>
        <w:tc>
          <w:tcPr>
            <w:tcW w:w="1228" w:type="pct"/>
            <w:shd w:val="clear" w:color="auto" w:fill="D9D9D9" w:themeFill="background1" w:themeFillShade="D9"/>
          </w:tcPr>
          <w:p w14:paraId="6D6E49B0" w14:textId="04A81098" w:rsidR="005063AE" w:rsidRDefault="00ED726C" w:rsidP="00FE5866">
            <w:pPr>
              <w:rPr>
                <w:i/>
                <w:iCs/>
              </w:rPr>
            </w:pPr>
            <w:r>
              <w:rPr>
                <w:i/>
                <w:iCs/>
              </w:rPr>
              <w:t>Based on risk,</w:t>
            </w:r>
            <w:r w:rsidR="005063AE" w:rsidRPr="005063AE">
              <w:rPr>
                <w:i/>
                <w:iCs/>
              </w:rPr>
              <w:t xml:space="preserve"> </w:t>
            </w:r>
            <w:r w:rsidR="005063AE" w:rsidRPr="002D55BA">
              <w:rPr>
                <w:b/>
                <w:bCs/>
                <w:i/>
                <w:iCs/>
              </w:rPr>
              <w:t xml:space="preserve">a review is required </w:t>
            </w:r>
            <w:r w:rsidR="008F4839">
              <w:rPr>
                <w:b/>
                <w:bCs/>
                <w:i/>
                <w:iCs/>
              </w:rPr>
              <w:t xml:space="preserve">at least </w:t>
            </w:r>
            <w:r w:rsidR="005063AE" w:rsidRPr="00313AB9">
              <w:rPr>
                <w:b/>
                <w:bCs/>
                <w:i/>
                <w:iCs/>
              </w:rPr>
              <w:t>annually</w:t>
            </w:r>
            <w:r w:rsidR="00BD782A" w:rsidRPr="00313AB9">
              <w:rPr>
                <w:b/>
                <w:bCs/>
                <w:i/>
                <w:iCs/>
              </w:rPr>
              <w:t xml:space="preserve"> </w:t>
            </w:r>
            <w:r w:rsidR="00BD782A" w:rsidRPr="002D55BA">
              <w:rPr>
                <w:b/>
                <w:bCs/>
                <w:i/>
                <w:iCs/>
              </w:rPr>
              <w:t xml:space="preserve">when </w:t>
            </w:r>
            <w:r w:rsidRPr="002D55BA">
              <w:rPr>
                <w:b/>
                <w:bCs/>
                <w:i/>
                <w:iCs/>
              </w:rPr>
              <w:t>participants have been enrolled</w:t>
            </w:r>
            <w:r w:rsidR="00BD782A" w:rsidRPr="00BD782A">
              <w:rPr>
                <w:i/>
                <w:iCs/>
              </w:rPr>
              <w:t>.</w:t>
            </w:r>
          </w:p>
          <w:p w14:paraId="0B71A8F2" w14:textId="77777777" w:rsidR="00313AB9" w:rsidRDefault="00313AB9" w:rsidP="00FE5866">
            <w:pPr>
              <w:rPr>
                <w:i/>
                <w:iCs/>
              </w:rPr>
            </w:pPr>
          </w:p>
          <w:p w14:paraId="33697021" w14:textId="230E3C27" w:rsidR="00313AB9" w:rsidRDefault="00313AB9" w:rsidP="00FE5866">
            <w:pPr>
              <w:rPr>
                <w:i/>
                <w:iCs/>
              </w:rPr>
            </w:pPr>
            <w:r>
              <w:rPr>
                <w:i/>
                <w:iCs/>
              </w:rPr>
              <w:t>Frequency of review may occur more often, based on the milestones of the research, such as:</w:t>
            </w:r>
          </w:p>
          <w:p w14:paraId="22E3F58F" w14:textId="77777777" w:rsidR="00313AB9" w:rsidRDefault="00313AB9" w:rsidP="002D55BA">
            <w:pPr>
              <w:pStyle w:val="ListParagraph"/>
              <w:numPr>
                <w:ilvl w:val="0"/>
                <w:numId w:val="34"/>
              </w:numPr>
              <w:ind w:left="346" w:hanging="255"/>
              <w:rPr>
                <w:i/>
                <w:iCs/>
              </w:rPr>
            </w:pPr>
            <w:r>
              <w:rPr>
                <w:i/>
                <w:iCs/>
              </w:rPr>
              <w:t>Initiation of initial enrollment</w:t>
            </w:r>
          </w:p>
          <w:p w14:paraId="738E9061" w14:textId="77777777" w:rsidR="00313AB9" w:rsidRDefault="00313AB9" w:rsidP="002D55BA">
            <w:pPr>
              <w:pStyle w:val="ListParagraph"/>
              <w:numPr>
                <w:ilvl w:val="0"/>
                <w:numId w:val="34"/>
              </w:numPr>
              <w:ind w:left="346" w:hanging="255"/>
              <w:rPr>
                <w:i/>
                <w:iCs/>
              </w:rPr>
            </w:pPr>
            <w:r>
              <w:rPr>
                <w:i/>
                <w:iCs/>
              </w:rPr>
              <w:t>During participant interventions</w:t>
            </w:r>
          </w:p>
          <w:p w14:paraId="118512A9" w14:textId="7AD81CF9" w:rsidR="00313AB9" w:rsidRPr="002D55BA" w:rsidRDefault="00313AB9" w:rsidP="002D55BA">
            <w:pPr>
              <w:pStyle w:val="ListParagraph"/>
              <w:numPr>
                <w:ilvl w:val="0"/>
                <w:numId w:val="34"/>
              </w:numPr>
              <w:ind w:left="346" w:hanging="255"/>
              <w:rPr>
                <w:i/>
                <w:iCs/>
              </w:rPr>
            </w:pPr>
            <w:r>
              <w:rPr>
                <w:i/>
                <w:iCs/>
              </w:rPr>
              <w:t>When all participants are in long-term follow-up</w:t>
            </w:r>
          </w:p>
        </w:tc>
        <w:tc>
          <w:tcPr>
            <w:tcW w:w="1125" w:type="pct"/>
            <w:shd w:val="clear" w:color="auto" w:fill="D9D9D9" w:themeFill="background1" w:themeFillShade="D9"/>
          </w:tcPr>
          <w:p w14:paraId="35402B7F" w14:textId="32DBBC1C" w:rsidR="003D3C3F" w:rsidRDefault="00A53BE0" w:rsidP="003D3C3F">
            <w:r w:rsidRPr="00BD782A">
              <w:rPr>
                <w:i/>
                <w:iCs/>
              </w:rPr>
              <w:t>Delegate a responsible party for each requirement below</w:t>
            </w:r>
            <w:r w:rsidR="003D3C3F">
              <w:rPr>
                <w:i/>
                <w:iCs/>
              </w:rPr>
              <w:t xml:space="preserve">. </w:t>
            </w:r>
            <w:r w:rsidR="003D3C3F">
              <w:t>Self-</w:t>
            </w:r>
            <w:r w:rsidR="00ED726C">
              <w:t>assessment</w:t>
            </w:r>
            <w:r w:rsidR="003D3C3F">
              <w:t xml:space="preserve"> is acceptable</w:t>
            </w:r>
            <w:r w:rsidR="00755EA8">
              <w:t>.</w:t>
            </w:r>
            <w:r w:rsidR="003D3C3F">
              <w:t>*</w:t>
            </w:r>
          </w:p>
          <w:p w14:paraId="79D178F5" w14:textId="394F8527" w:rsidR="003D3C3F" w:rsidRDefault="003D3C3F" w:rsidP="003D3C3F">
            <w:r w:rsidRPr="00CC39FC">
              <w:rPr>
                <w:i/>
                <w:iCs/>
                <w:u w:val="single"/>
              </w:rPr>
              <w:t>Self</w:t>
            </w:r>
            <w:r>
              <w:rPr>
                <w:i/>
                <w:iCs/>
                <w:u w:val="single"/>
              </w:rPr>
              <w:t>-</w:t>
            </w:r>
            <w:r w:rsidR="00ED726C">
              <w:rPr>
                <w:i/>
                <w:iCs/>
                <w:u w:val="single"/>
              </w:rPr>
              <w:t>assessment</w:t>
            </w:r>
            <w:r>
              <w:t>:</w:t>
            </w:r>
            <w:r w:rsidRPr="00CC39FC">
              <w:t xml:space="preserve"> a process for self-assessment of protocol compliance and data integrity which can be part of an overall DSMP. </w:t>
            </w:r>
            <w:r>
              <w:t xml:space="preserve">See </w:t>
            </w:r>
            <w:r w:rsidR="00CC43BE">
              <w:t xml:space="preserve">Emory’s </w:t>
            </w:r>
            <w:r>
              <w:t>self-</w:t>
            </w:r>
            <w:r w:rsidR="00ED726C">
              <w:t>assessment</w:t>
            </w:r>
            <w:r>
              <w:t xml:space="preserve"> tool on  </w:t>
            </w:r>
            <w:hyperlink r:id="rId14" w:history="1">
              <w:r w:rsidR="00755EA8">
                <w:rPr>
                  <w:rStyle w:val="Hyperlink"/>
                </w:rPr>
                <w:t>this page.</w:t>
              </w:r>
            </w:hyperlink>
            <w:r w:rsidRPr="00CC39FC">
              <w:t xml:space="preserve"> </w:t>
            </w:r>
          </w:p>
          <w:p w14:paraId="01D53FFA" w14:textId="77777777" w:rsidR="005063AE" w:rsidRDefault="005063AE" w:rsidP="00FE5866">
            <w:pPr>
              <w:rPr>
                <w:i/>
                <w:iCs/>
              </w:rPr>
            </w:pPr>
          </w:p>
          <w:p w14:paraId="6F9F8BCD" w14:textId="225B8D63" w:rsidR="00D26DAE" w:rsidRPr="00BD782A" w:rsidRDefault="00D26DAE" w:rsidP="00FE586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Note: </w:t>
            </w:r>
            <w:r w:rsidRPr="00D26DAE">
              <w:rPr>
                <w:i/>
                <w:iCs/>
              </w:rPr>
              <w:t xml:space="preserve">Everyone on the study team responsible for </w:t>
            </w:r>
            <w:r>
              <w:rPr>
                <w:i/>
                <w:iCs/>
              </w:rPr>
              <w:t xml:space="preserve">review of data at the time of </w:t>
            </w:r>
            <w:r w:rsidRPr="00D26DAE">
              <w:rPr>
                <w:i/>
                <w:iCs/>
              </w:rPr>
              <w:t>collection.</w:t>
            </w:r>
          </w:p>
        </w:tc>
      </w:tr>
      <w:tr w:rsidR="00755EA8" w14:paraId="2758FB0C" w14:textId="77777777" w:rsidTr="00A907D3">
        <w:tc>
          <w:tcPr>
            <w:tcW w:w="1249" w:type="pct"/>
          </w:tcPr>
          <w:p w14:paraId="2ECFDAA1" w14:textId="01B3C764" w:rsidR="00755EA8" w:rsidRDefault="00755EA8" w:rsidP="00755EA8">
            <w:r w:rsidRPr="00493AB1">
              <w:t>Real-time review of participant data during initial data collection.</w:t>
            </w:r>
          </w:p>
        </w:tc>
        <w:tc>
          <w:tcPr>
            <w:tcW w:w="1398" w:type="pct"/>
          </w:tcPr>
          <w:p w14:paraId="77030F7A" w14:textId="77777777" w:rsidR="00755EA8" w:rsidRDefault="00755EA8" w:rsidP="00755EA8"/>
        </w:tc>
        <w:tc>
          <w:tcPr>
            <w:tcW w:w="1228" w:type="pct"/>
          </w:tcPr>
          <w:p w14:paraId="4B75B5FA" w14:textId="3E91582F" w:rsidR="00755EA8" w:rsidRDefault="00755EA8" w:rsidP="00755EA8">
            <w:r w:rsidRPr="005063AE">
              <w:rPr>
                <w:i/>
                <w:iCs/>
              </w:rPr>
              <w:t xml:space="preserve">Expectation is that this happens </w:t>
            </w:r>
            <w:r w:rsidR="00D26DAE">
              <w:rPr>
                <w:i/>
                <w:iCs/>
              </w:rPr>
              <w:t>at the time of data collection</w:t>
            </w:r>
          </w:p>
        </w:tc>
        <w:tc>
          <w:tcPr>
            <w:tcW w:w="1125" w:type="pct"/>
          </w:tcPr>
          <w:p w14:paraId="7DD31EFE" w14:textId="785E10F3" w:rsidR="00755EA8" w:rsidRDefault="00755EA8" w:rsidP="00755EA8"/>
        </w:tc>
      </w:tr>
      <w:tr w:rsidR="00755EA8" w14:paraId="3A6A42EA" w14:textId="56C32ED5" w:rsidTr="00A907D3">
        <w:tc>
          <w:tcPr>
            <w:tcW w:w="1249" w:type="pct"/>
          </w:tcPr>
          <w:p w14:paraId="2150F7E7" w14:textId="0126DF3E" w:rsidR="00755EA8" w:rsidRDefault="00755EA8" w:rsidP="00755EA8">
            <w:r>
              <w:t>100% review of consent forms</w:t>
            </w:r>
          </w:p>
        </w:tc>
        <w:tc>
          <w:tcPr>
            <w:tcW w:w="1398" w:type="pct"/>
          </w:tcPr>
          <w:p w14:paraId="3A431430" w14:textId="77777777" w:rsidR="00755EA8" w:rsidRDefault="00755EA8" w:rsidP="00755EA8"/>
        </w:tc>
        <w:tc>
          <w:tcPr>
            <w:tcW w:w="1228" w:type="pct"/>
          </w:tcPr>
          <w:p w14:paraId="08E1611F" w14:textId="77777777" w:rsidR="00755EA8" w:rsidRDefault="00755EA8" w:rsidP="00755EA8"/>
        </w:tc>
        <w:tc>
          <w:tcPr>
            <w:tcW w:w="1125" w:type="pct"/>
          </w:tcPr>
          <w:p w14:paraId="18E888DC" w14:textId="77777777" w:rsidR="00755EA8" w:rsidRDefault="00755EA8" w:rsidP="00755EA8"/>
        </w:tc>
      </w:tr>
      <w:tr w:rsidR="00755EA8" w14:paraId="13858E89" w14:textId="2BD70D7B" w:rsidTr="00A907D3">
        <w:tc>
          <w:tcPr>
            <w:tcW w:w="1249" w:type="pct"/>
          </w:tcPr>
          <w:p w14:paraId="1995DDCE" w14:textId="2839F725" w:rsidR="00755EA8" w:rsidRDefault="00755EA8" w:rsidP="00755EA8">
            <w:r>
              <w:lastRenderedPageBreak/>
              <w:t>Review of credentials, training records, the delegation of responsibility logs (if applicable)</w:t>
            </w:r>
          </w:p>
        </w:tc>
        <w:tc>
          <w:tcPr>
            <w:tcW w:w="1398" w:type="pct"/>
          </w:tcPr>
          <w:p w14:paraId="256AF6AA" w14:textId="77777777" w:rsidR="00755EA8" w:rsidRDefault="00755EA8" w:rsidP="00755EA8"/>
        </w:tc>
        <w:tc>
          <w:tcPr>
            <w:tcW w:w="1228" w:type="pct"/>
          </w:tcPr>
          <w:p w14:paraId="3FDEC7EB" w14:textId="77777777" w:rsidR="00755EA8" w:rsidRDefault="00755EA8" w:rsidP="00755EA8"/>
        </w:tc>
        <w:tc>
          <w:tcPr>
            <w:tcW w:w="1125" w:type="pct"/>
          </w:tcPr>
          <w:p w14:paraId="742CEBF1" w14:textId="77777777" w:rsidR="00755EA8" w:rsidRDefault="00755EA8" w:rsidP="00755EA8"/>
        </w:tc>
      </w:tr>
      <w:tr w:rsidR="00755EA8" w14:paraId="30219CB2" w14:textId="7A646898" w:rsidTr="00A907D3">
        <w:tc>
          <w:tcPr>
            <w:tcW w:w="1249" w:type="pct"/>
          </w:tcPr>
          <w:p w14:paraId="05B9C8C8" w14:textId="546FF7F3" w:rsidR="00755EA8" w:rsidRDefault="00755EA8" w:rsidP="00755EA8">
            <w:r>
              <w:t>Comparison of case report forms (CRF) to source documentation for accuracy and completion</w:t>
            </w:r>
          </w:p>
        </w:tc>
        <w:tc>
          <w:tcPr>
            <w:tcW w:w="1398" w:type="pct"/>
          </w:tcPr>
          <w:p w14:paraId="43585E2C" w14:textId="77777777" w:rsidR="00755EA8" w:rsidRDefault="00755EA8" w:rsidP="00755EA8"/>
        </w:tc>
        <w:tc>
          <w:tcPr>
            <w:tcW w:w="1228" w:type="pct"/>
          </w:tcPr>
          <w:p w14:paraId="36AF8C3D" w14:textId="77777777" w:rsidR="00755EA8" w:rsidRDefault="00755EA8" w:rsidP="00755EA8"/>
        </w:tc>
        <w:tc>
          <w:tcPr>
            <w:tcW w:w="1125" w:type="pct"/>
          </w:tcPr>
          <w:p w14:paraId="790D8CB8" w14:textId="77777777" w:rsidR="00755EA8" w:rsidRDefault="00755EA8" w:rsidP="00755EA8"/>
        </w:tc>
      </w:tr>
      <w:tr w:rsidR="00755EA8" w14:paraId="62BB67E6" w14:textId="17DC78A4" w:rsidTr="00A907D3">
        <w:tc>
          <w:tcPr>
            <w:tcW w:w="1249" w:type="pct"/>
          </w:tcPr>
          <w:p w14:paraId="148522EC" w14:textId="6B70B628" w:rsidR="00755EA8" w:rsidRDefault="00755EA8" w:rsidP="00755EA8">
            <w:r>
              <w:t>Review of documentation of all adverse events</w:t>
            </w:r>
          </w:p>
        </w:tc>
        <w:tc>
          <w:tcPr>
            <w:tcW w:w="1398" w:type="pct"/>
          </w:tcPr>
          <w:p w14:paraId="52996B6F" w14:textId="77777777" w:rsidR="00755EA8" w:rsidRDefault="00755EA8" w:rsidP="00755EA8"/>
        </w:tc>
        <w:tc>
          <w:tcPr>
            <w:tcW w:w="1228" w:type="pct"/>
          </w:tcPr>
          <w:p w14:paraId="30E126DA" w14:textId="77777777" w:rsidR="00755EA8" w:rsidRDefault="00755EA8" w:rsidP="00755EA8"/>
        </w:tc>
        <w:tc>
          <w:tcPr>
            <w:tcW w:w="1125" w:type="pct"/>
          </w:tcPr>
          <w:p w14:paraId="000CE08F" w14:textId="77777777" w:rsidR="00755EA8" w:rsidRDefault="00755EA8" w:rsidP="00755EA8"/>
        </w:tc>
      </w:tr>
      <w:tr w:rsidR="00755EA8" w14:paraId="6F5A15E3" w14:textId="090F6B2D" w:rsidTr="00A907D3">
        <w:tc>
          <w:tcPr>
            <w:tcW w:w="1249" w:type="pct"/>
          </w:tcPr>
          <w:p w14:paraId="4A8DD5F2" w14:textId="4A8129CD" w:rsidR="00755EA8" w:rsidRDefault="00755EA8" w:rsidP="00755EA8">
            <w:r>
              <w:t>Monitoring of critical data points (eligibility, study endpoints, etc.)</w:t>
            </w:r>
          </w:p>
        </w:tc>
        <w:tc>
          <w:tcPr>
            <w:tcW w:w="1398" w:type="pct"/>
          </w:tcPr>
          <w:p w14:paraId="3E557443" w14:textId="77777777" w:rsidR="00755EA8" w:rsidRDefault="00755EA8" w:rsidP="00755EA8"/>
        </w:tc>
        <w:tc>
          <w:tcPr>
            <w:tcW w:w="1228" w:type="pct"/>
          </w:tcPr>
          <w:p w14:paraId="2B9B4673" w14:textId="77777777" w:rsidR="00755EA8" w:rsidRDefault="00755EA8" w:rsidP="00755EA8"/>
        </w:tc>
        <w:tc>
          <w:tcPr>
            <w:tcW w:w="1125" w:type="pct"/>
          </w:tcPr>
          <w:p w14:paraId="2F8F4AAF" w14:textId="77777777" w:rsidR="00755EA8" w:rsidRDefault="00755EA8" w:rsidP="00755EA8"/>
        </w:tc>
      </w:tr>
      <w:tr w:rsidR="00755EA8" w14:paraId="6400F4C9" w14:textId="77777777" w:rsidTr="00A907D3">
        <w:tc>
          <w:tcPr>
            <w:tcW w:w="1249" w:type="pct"/>
            <w:shd w:val="clear" w:color="auto" w:fill="D9D9D9" w:themeFill="background1" w:themeFillShade="D9"/>
          </w:tcPr>
          <w:p w14:paraId="231EC215" w14:textId="4AE6EC50" w:rsidR="00755EA8" w:rsidRPr="00AD7311" w:rsidRDefault="00755EA8" w:rsidP="00755EA8">
            <w:pPr>
              <w:rPr>
                <w:b/>
                <w:bCs/>
              </w:rPr>
            </w:pPr>
            <w:r w:rsidRPr="00AD7311">
              <w:rPr>
                <w:b/>
                <w:bCs/>
              </w:rPr>
              <w:t>For FDA regulated studies, the following requirements apply:</w:t>
            </w:r>
            <w:r w:rsidR="00EF0CA9">
              <w:rPr>
                <w:b/>
                <w:bCs/>
              </w:rPr>
              <w:t>*</w:t>
            </w:r>
          </w:p>
        </w:tc>
        <w:tc>
          <w:tcPr>
            <w:tcW w:w="1398" w:type="pct"/>
            <w:shd w:val="clear" w:color="auto" w:fill="D9D9D9" w:themeFill="background1" w:themeFillShade="D9"/>
          </w:tcPr>
          <w:p w14:paraId="6E085F8A" w14:textId="478930CB" w:rsidR="00755EA8" w:rsidRDefault="00755EA8" w:rsidP="00755EA8">
            <w:r>
              <w:rPr>
                <w:b/>
                <w:bCs/>
              </w:rPr>
              <w:t>How this Requirement is Met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14:paraId="52462F03" w14:textId="21D3FEDA" w:rsidR="00755EA8" w:rsidRPr="00AD7311" w:rsidRDefault="00755EA8" w:rsidP="00755EA8">
            <w:pPr>
              <w:rPr>
                <w:b/>
                <w:bCs/>
              </w:rPr>
            </w:pPr>
            <w:r w:rsidRPr="00AD7311">
              <w:rPr>
                <w:b/>
                <w:bCs/>
              </w:rPr>
              <w:t>Timing, frequency, and intensity of monitoring</w:t>
            </w:r>
          </w:p>
        </w:tc>
        <w:tc>
          <w:tcPr>
            <w:tcW w:w="1125" w:type="pct"/>
            <w:shd w:val="clear" w:color="auto" w:fill="D9D9D9" w:themeFill="background1" w:themeFillShade="D9"/>
          </w:tcPr>
          <w:p w14:paraId="698665EC" w14:textId="1F192C9F" w:rsidR="00755EA8" w:rsidRDefault="00755EA8" w:rsidP="00755EA8">
            <w:r w:rsidRPr="005063AE">
              <w:rPr>
                <w:b/>
                <w:bCs/>
              </w:rPr>
              <w:t>Responsible Part</w:t>
            </w:r>
            <w:r>
              <w:rPr>
                <w:b/>
                <w:bCs/>
              </w:rPr>
              <w:t>y(ies)</w:t>
            </w:r>
          </w:p>
        </w:tc>
      </w:tr>
      <w:tr w:rsidR="00755EA8" w14:paraId="0C77AE3A" w14:textId="77777777" w:rsidTr="00A907D3">
        <w:tc>
          <w:tcPr>
            <w:tcW w:w="1249" w:type="pct"/>
          </w:tcPr>
          <w:p w14:paraId="1D05D2D9" w14:textId="0DE29D03" w:rsidR="00755EA8" w:rsidRDefault="00755EA8" w:rsidP="00755EA8">
            <w:r w:rsidRPr="00474EDC">
              <w:t>Monitoring methods (may include centralized, on-site, and self-</w:t>
            </w:r>
            <w:r>
              <w:t>assessment</w:t>
            </w:r>
            <w:r w:rsidRPr="00474EDC">
              <w:t>)</w:t>
            </w:r>
          </w:p>
        </w:tc>
        <w:tc>
          <w:tcPr>
            <w:tcW w:w="1398" w:type="pct"/>
          </w:tcPr>
          <w:p w14:paraId="037687DB" w14:textId="77777777" w:rsidR="00755EA8" w:rsidRDefault="00755EA8" w:rsidP="00755EA8"/>
        </w:tc>
        <w:tc>
          <w:tcPr>
            <w:tcW w:w="1228" w:type="pct"/>
          </w:tcPr>
          <w:p w14:paraId="754698CC" w14:textId="77777777" w:rsidR="00755EA8" w:rsidRDefault="00755EA8" w:rsidP="00755EA8"/>
        </w:tc>
        <w:tc>
          <w:tcPr>
            <w:tcW w:w="1125" w:type="pct"/>
          </w:tcPr>
          <w:p w14:paraId="3060CBD0" w14:textId="77777777" w:rsidR="00755EA8" w:rsidRDefault="00755EA8" w:rsidP="00755EA8"/>
        </w:tc>
      </w:tr>
      <w:tr w:rsidR="00EF0CA9" w14:paraId="5C028238" w14:textId="77777777" w:rsidTr="00A907D3">
        <w:tc>
          <w:tcPr>
            <w:tcW w:w="5000" w:type="pct"/>
            <w:gridSpan w:val="4"/>
            <w:shd w:val="clear" w:color="auto" w:fill="D0CECE" w:themeFill="background2" w:themeFillShade="E6"/>
          </w:tcPr>
          <w:p w14:paraId="4C2623E7" w14:textId="4BBD2593" w:rsidR="00EF0CA9" w:rsidRPr="002D55BA" w:rsidRDefault="00EF0CA9" w:rsidP="002D55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*Note: F</w:t>
            </w:r>
            <w:r w:rsidRPr="002D55BA">
              <w:rPr>
                <w:sz w:val="22"/>
                <w:szCs w:val="22"/>
              </w:rPr>
              <w:t xml:space="preserve">DA regulations also apply to FDA-approved drugs and devices when the use of a drug or a device is being evaluated in the course of the study. </w:t>
            </w:r>
          </w:p>
          <w:p w14:paraId="036886A8" w14:textId="1B1B3CC0" w:rsidR="00EF0CA9" w:rsidRDefault="00EF0CA9" w:rsidP="00EF0CA9">
            <w:r w:rsidRPr="002D55BA">
              <w:rPr>
                <w:sz w:val="22"/>
                <w:szCs w:val="22"/>
              </w:rPr>
              <w:t xml:space="preserve">To learn more: </w:t>
            </w:r>
            <w:hyperlink r:id="rId15" w:tgtFrame="_blank" w:tooltip="https://www.irb.emory.edu/guidance/faqs/index.html" w:history="1">
              <w:r w:rsidRPr="002D55BA">
                <w:rPr>
                  <w:rStyle w:val="Hyperlink"/>
                  <w:sz w:val="22"/>
                  <w:szCs w:val="22"/>
                </w:rPr>
                <w:t>https://www.irb.emory.edu/guidance/faqs/index.html</w:t>
              </w:r>
            </w:hyperlink>
          </w:p>
        </w:tc>
      </w:tr>
    </w:tbl>
    <w:p w14:paraId="007A3655" w14:textId="77777777" w:rsidR="00493AB1" w:rsidRDefault="00593CE3" w:rsidP="00785B35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</w:t>
      </w:r>
    </w:p>
    <w:p w14:paraId="1B3E0817" w14:textId="77777777" w:rsidR="00493AB1" w:rsidRDefault="00493AB1">
      <w:pPr>
        <w:rPr>
          <w:rFonts w:cstheme="minorHAnsi"/>
        </w:rPr>
      </w:pPr>
      <w:r>
        <w:rPr>
          <w:rFonts w:cstheme="minorHAnsi"/>
        </w:rPr>
        <w:br w:type="page"/>
      </w:r>
    </w:p>
    <w:p w14:paraId="35C927C2" w14:textId="77777777" w:rsidR="00493AB1" w:rsidRDefault="00493AB1" w:rsidP="00493AB1">
      <w:pPr>
        <w:pStyle w:val="Heading1"/>
      </w:pPr>
      <w:bookmarkStart w:id="2" w:name="_Monitoring_Table_2"/>
      <w:bookmarkEnd w:id="2"/>
      <w:r>
        <w:lastRenderedPageBreak/>
        <w:t>Monitoring Table 2</w:t>
      </w:r>
    </w:p>
    <w:p w14:paraId="6CF17027" w14:textId="77777777" w:rsidR="00CD4164" w:rsidRDefault="00CD4164" w:rsidP="009F7F5E">
      <w:pPr>
        <w:rPr>
          <w:rFonts w:cstheme="minorHAnsi"/>
        </w:rPr>
      </w:pPr>
      <w:r>
        <w:rPr>
          <w:rFonts w:cstheme="minorHAnsi"/>
        </w:rPr>
        <w:t>A</w:t>
      </w:r>
      <w:r w:rsidRPr="00DB1299">
        <w:rPr>
          <w:rFonts w:cstheme="minorHAnsi"/>
        </w:rPr>
        <w:t>ddress the specific details below</w:t>
      </w:r>
      <w:r>
        <w:rPr>
          <w:rFonts w:cstheme="minorHAnsi"/>
        </w:rPr>
        <w:t xml:space="preserve"> even where there is template text present</w:t>
      </w:r>
      <w:r w:rsidRPr="00DB1299">
        <w:rPr>
          <w:rFonts w:cstheme="minorHAnsi"/>
        </w:rPr>
        <w:t xml:space="preserve">. </w:t>
      </w:r>
      <w:r>
        <w:rPr>
          <w:rFonts w:cstheme="minorHAnsi"/>
        </w:rPr>
        <w:t>Please read the guidance in the gray row first to help inform the plan details. Do not edit any pre-populated answers as these are the IRB’s expectations.</w:t>
      </w:r>
    </w:p>
    <w:p w14:paraId="056888AD" w14:textId="77777777" w:rsidR="00CD4164" w:rsidRPr="00DB1299" w:rsidRDefault="00CD4164" w:rsidP="00CD4164">
      <w:pPr>
        <w:rPr>
          <w:rFonts w:cstheme="minorHAnsi"/>
        </w:rPr>
      </w:pPr>
      <w:r w:rsidRPr="00DB1299">
        <w:rPr>
          <w:rFonts w:cstheme="minorHAnsi"/>
        </w:rPr>
        <w:t xml:space="preserve">If </w:t>
      </w:r>
      <w:r>
        <w:rPr>
          <w:rFonts w:cstheme="minorHAnsi"/>
        </w:rPr>
        <w:t xml:space="preserve">a requirement is </w:t>
      </w:r>
      <w:r w:rsidRPr="00DB1299">
        <w:rPr>
          <w:rFonts w:cstheme="minorHAnsi"/>
        </w:rPr>
        <w:t>not applicable, please provide rationale</w:t>
      </w:r>
      <w:r>
        <w:rPr>
          <w:rFonts w:cstheme="minorHAnsi"/>
        </w:rPr>
        <w:t xml:space="preserve">. Note that the identified monitor(s) should be listed on the study’s delegation of authority log.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84"/>
        <w:gridCol w:w="4118"/>
        <w:gridCol w:w="2590"/>
        <w:gridCol w:w="2958"/>
      </w:tblGrid>
      <w:tr w:rsidR="00493AB1" w14:paraId="3DE620FA" w14:textId="77777777" w:rsidTr="00A907D3">
        <w:tc>
          <w:tcPr>
            <w:tcW w:w="1268" w:type="pct"/>
          </w:tcPr>
          <w:p w14:paraId="4D9C4EEB" w14:textId="77777777" w:rsidR="00493AB1" w:rsidRPr="005063AE" w:rsidRDefault="00493AB1" w:rsidP="001840D2">
            <w:pPr>
              <w:rPr>
                <w:b/>
                <w:bCs/>
              </w:rPr>
            </w:pPr>
            <w:r w:rsidRPr="005063AE">
              <w:rPr>
                <w:b/>
                <w:bCs/>
              </w:rPr>
              <w:t xml:space="preserve">DSMP </w:t>
            </w:r>
            <w:r>
              <w:rPr>
                <w:b/>
                <w:bCs/>
              </w:rPr>
              <w:t>Requirement</w:t>
            </w:r>
          </w:p>
        </w:tc>
        <w:tc>
          <w:tcPr>
            <w:tcW w:w="1590" w:type="pct"/>
          </w:tcPr>
          <w:p w14:paraId="008C6DC4" w14:textId="77777777" w:rsidR="00493AB1" w:rsidRPr="005063AE" w:rsidRDefault="00493AB1" w:rsidP="001840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this Requirement is Met </w:t>
            </w:r>
          </w:p>
        </w:tc>
        <w:tc>
          <w:tcPr>
            <w:tcW w:w="1000" w:type="pct"/>
          </w:tcPr>
          <w:p w14:paraId="265BAB02" w14:textId="77777777" w:rsidR="00493AB1" w:rsidRPr="005063AE" w:rsidRDefault="00493AB1" w:rsidP="001840D2">
            <w:pPr>
              <w:rPr>
                <w:b/>
                <w:bCs/>
              </w:rPr>
            </w:pPr>
            <w:r w:rsidRPr="005063AE">
              <w:rPr>
                <w:b/>
                <w:bCs/>
              </w:rPr>
              <w:t>Frequency</w:t>
            </w:r>
          </w:p>
        </w:tc>
        <w:tc>
          <w:tcPr>
            <w:tcW w:w="1143" w:type="pct"/>
          </w:tcPr>
          <w:p w14:paraId="25BC250D" w14:textId="63258A18" w:rsidR="00493AB1" w:rsidRPr="005063AE" w:rsidRDefault="00493AB1" w:rsidP="001840D2">
            <w:pPr>
              <w:rPr>
                <w:b/>
                <w:bCs/>
              </w:rPr>
            </w:pPr>
            <w:r w:rsidRPr="005063AE">
              <w:rPr>
                <w:b/>
                <w:bCs/>
              </w:rPr>
              <w:t>Responsible Part</w:t>
            </w:r>
            <w:r>
              <w:rPr>
                <w:b/>
                <w:bCs/>
              </w:rPr>
              <w:t>y(ies)</w:t>
            </w:r>
          </w:p>
        </w:tc>
      </w:tr>
      <w:tr w:rsidR="00493AB1" w14:paraId="1F84F42C" w14:textId="77777777" w:rsidTr="00A907D3">
        <w:tc>
          <w:tcPr>
            <w:tcW w:w="1268" w:type="pct"/>
            <w:shd w:val="clear" w:color="auto" w:fill="D9D9D9" w:themeFill="background1" w:themeFillShade="D9"/>
          </w:tcPr>
          <w:p w14:paraId="5B299982" w14:textId="77777777" w:rsidR="00493AB1" w:rsidRDefault="00493AB1" w:rsidP="001840D2">
            <w:r>
              <w:t xml:space="preserve">Site Monitoring at pre-determined intervals: The Principal Investigator has a responsibility to ensure that the study is following all aspects of the protocol. 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14:paraId="005840DE" w14:textId="3586624C" w:rsidR="00493AB1" w:rsidRPr="00BD782A" w:rsidRDefault="00493AB1" w:rsidP="002D55BA">
            <w:pPr>
              <w:rPr>
                <w:i/>
                <w:iCs/>
              </w:rPr>
            </w:pPr>
            <w:r w:rsidRPr="00493AB1">
              <w:rPr>
                <w:i/>
                <w:iCs/>
              </w:rPr>
              <w:t>There should be a standard operating procedure to review data (whether a sample or 100%) at pre-determined intervals to ensure that there is adequate documentation of critical elements such as eligibility criteria.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2F48EB5B" w14:textId="77777777" w:rsidR="00313AB9" w:rsidRDefault="00493AB1" w:rsidP="001840D2">
            <w:pPr>
              <w:spacing w:before="100" w:beforeAutospacing="1" w:after="100" w:afterAutospacing="1"/>
              <w:rPr>
                <w:i/>
                <w:iCs/>
              </w:rPr>
            </w:pPr>
            <w:r w:rsidRPr="002D55BA">
              <w:rPr>
                <w:b/>
                <w:bCs/>
                <w:i/>
                <w:iCs/>
              </w:rPr>
              <w:t>At a minimum, a review is required annually when no one has been enrolled or the study is in long term follow up.</w:t>
            </w:r>
            <w:r w:rsidRPr="003D3C3F">
              <w:rPr>
                <w:i/>
                <w:iCs/>
              </w:rPr>
              <w:t xml:space="preserve"> Additional interim monitoring at least once every 12-24 weeks based on the site activity, and more as needed, to include the possibility of remote monitoring</w:t>
            </w:r>
            <w:r>
              <w:rPr>
                <w:i/>
                <w:iCs/>
              </w:rPr>
              <w:t>.</w:t>
            </w:r>
          </w:p>
          <w:p w14:paraId="0F89A4E6" w14:textId="77777777" w:rsidR="00313AB9" w:rsidRDefault="00313AB9" w:rsidP="00313AB9">
            <w:pPr>
              <w:rPr>
                <w:i/>
                <w:iCs/>
              </w:rPr>
            </w:pPr>
            <w:r>
              <w:rPr>
                <w:i/>
                <w:iCs/>
              </w:rPr>
              <w:t>Frequency of review may occur more often, based on the milestones of the research, such as:</w:t>
            </w:r>
          </w:p>
          <w:p w14:paraId="2E87D7AF" w14:textId="77777777" w:rsidR="00313AB9" w:rsidRDefault="00313AB9" w:rsidP="00313AB9">
            <w:pPr>
              <w:pStyle w:val="ListParagraph"/>
              <w:numPr>
                <w:ilvl w:val="0"/>
                <w:numId w:val="34"/>
              </w:numPr>
              <w:ind w:left="346" w:hanging="255"/>
              <w:rPr>
                <w:i/>
                <w:iCs/>
              </w:rPr>
            </w:pPr>
            <w:r>
              <w:rPr>
                <w:i/>
                <w:iCs/>
              </w:rPr>
              <w:t>Initiation of initial enrollment</w:t>
            </w:r>
          </w:p>
          <w:p w14:paraId="2C6A1D08" w14:textId="77777777" w:rsidR="00313AB9" w:rsidRDefault="00313AB9" w:rsidP="00313AB9">
            <w:pPr>
              <w:pStyle w:val="ListParagraph"/>
              <w:numPr>
                <w:ilvl w:val="0"/>
                <w:numId w:val="34"/>
              </w:numPr>
              <w:ind w:left="346" w:hanging="255"/>
              <w:rPr>
                <w:i/>
                <w:iCs/>
              </w:rPr>
            </w:pPr>
            <w:r>
              <w:rPr>
                <w:i/>
                <w:iCs/>
              </w:rPr>
              <w:t>During participant interventions</w:t>
            </w:r>
          </w:p>
          <w:p w14:paraId="54BD356D" w14:textId="256A5CDE" w:rsidR="00493AB1" w:rsidRPr="005063AE" w:rsidRDefault="00493AB1" w:rsidP="00313AB9">
            <w:pPr>
              <w:spacing w:before="100" w:beforeAutospacing="1" w:after="100" w:afterAutospacing="1"/>
              <w:rPr>
                <w:i/>
                <w:iCs/>
              </w:rPr>
            </w:pPr>
          </w:p>
        </w:tc>
        <w:tc>
          <w:tcPr>
            <w:tcW w:w="1143" w:type="pct"/>
            <w:shd w:val="clear" w:color="auto" w:fill="D9D9D9" w:themeFill="background1" w:themeFillShade="D9"/>
          </w:tcPr>
          <w:p w14:paraId="79B779F3" w14:textId="26A4B4D4" w:rsidR="00493AB1" w:rsidRDefault="00493AB1" w:rsidP="001840D2">
            <w:r w:rsidRPr="00BD782A">
              <w:rPr>
                <w:i/>
                <w:iCs/>
              </w:rPr>
              <w:lastRenderedPageBreak/>
              <w:t>Delegate a responsible party for each requirement below</w:t>
            </w:r>
            <w:r>
              <w:rPr>
                <w:i/>
                <w:iCs/>
              </w:rPr>
              <w:t xml:space="preserve">*. </w:t>
            </w:r>
            <w:r w:rsidRPr="00DB1299">
              <w:rPr>
                <w:i/>
                <w:iCs/>
              </w:rPr>
              <w:t>Self-</w:t>
            </w:r>
            <w:r>
              <w:rPr>
                <w:i/>
                <w:iCs/>
              </w:rPr>
              <w:t>assessment</w:t>
            </w:r>
            <w:r w:rsidRPr="00DB1299">
              <w:rPr>
                <w:i/>
                <w:iCs/>
              </w:rPr>
              <w:t xml:space="preserve"> is NOT acceptable. An experienced, knowledgeable person </w:t>
            </w:r>
            <w:r w:rsidRPr="00AD7311">
              <w:rPr>
                <w:b/>
                <w:bCs/>
                <w:i/>
                <w:iCs/>
                <w:u w:val="single"/>
              </w:rPr>
              <w:t>who is independent of the study team</w:t>
            </w:r>
            <w:r w:rsidRPr="00DB1299">
              <w:rPr>
                <w:i/>
                <w:iCs/>
              </w:rPr>
              <w:t xml:space="preserve"> should serve as monitor. A Contract Research Organization (CRO) may be used. Consult the IRB Office regarding acceptable qualifications for the independent monitor, if not using an outside expert such as a CRO.</w:t>
            </w:r>
          </w:p>
          <w:p w14:paraId="0ECE6853" w14:textId="77777777" w:rsidR="00493AB1" w:rsidRPr="00BD782A" w:rsidRDefault="00493AB1" w:rsidP="001840D2">
            <w:pPr>
              <w:rPr>
                <w:i/>
                <w:iCs/>
              </w:rPr>
            </w:pPr>
          </w:p>
        </w:tc>
      </w:tr>
      <w:tr w:rsidR="00CC43BE" w14:paraId="5FA8F1C7" w14:textId="77777777" w:rsidTr="00A907D3">
        <w:tc>
          <w:tcPr>
            <w:tcW w:w="1268" w:type="pct"/>
          </w:tcPr>
          <w:p w14:paraId="04439277" w14:textId="6BE88F8A" w:rsidR="00CC43BE" w:rsidRDefault="00CC43BE" w:rsidP="00CC43BE">
            <w:r w:rsidRPr="00493AB1">
              <w:t>Real-time review of participant data during initial data collection.</w:t>
            </w:r>
          </w:p>
        </w:tc>
        <w:tc>
          <w:tcPr>
            <w:tcW w:w="1590" w:type="pct"/>
          </w:tcPr>
          <w:p w14:paraId="2F569EC5" w14:textId="77777777" w:rsidR="00CC43BE" w:rsidRDefault="00CC43BE" w:rsidP="00CC43BE"/>
        </w:tc>
        <w:tc>
          <w:tcPr>
            <w:tcW w:w="1000" w:type="pct"/>
          </w:tcPr>
          <w:p w14:paraId="2915C69B" w14:textId="59676142" w:rsidR="00CC43BE" w:rsidRPr="003D3C3F" w:rsidRDefault="00D5242A" w:rsidP="00CC43BE">
            <w:pPr>
              <w:rPr>
                <w:i/>
                <w:iCs/>
              </w:rPr>
            </w:pPr>
            <w:r w:rsidRPr="00D5242A">
              <w:rPr>
                <w:i/>
                <w:iCs/>
              </w:rPr>
              <w:t>Expectation is that this happens at the time of data collection</w:t>
            </w:r>
          </w:p>
        </w:tc>
        <w:tc>
          <w:tcPr>
            <w:tcW w:w="1143" w:type="pct"/>
          </w:tcPr>
          <w:p w14:paraId="4370F662" w14:textId="6E0B1497" w:rsidR="00CC43BE" w:rsidRDefault="00CC43BE" w:rsidP="00CC43BE"/>
        </w:tc>
      </w:tr>
      <w:tr w:rsidR="00CC43BE" w14:paraId="6E6C2063" w14:textId="77777777" w:rsidTr="00A907D3">
        <w:tc>
          <w:tcPr>
            <w:tcW w:w="1268" w:type="pct"/>
          </w:tcPr>
          <w:p w14:paraId="4A98026B" w14:textId="77777777" w:rsidR="00CC43BE" w:rsidRDefault="00CC43BE" w:rsidP="00CC43BE">
            <w:r>
              <w:t>100% review of regulatory files</w:t>
            </w:r>
          </w:p>
        </w:tc>
        <w:tc>
          <w:tcPr>
            <w:tcW w:w="1590" w:type="pct"/>
          </w:tcPr>
          <w:p w14:paraId="44A192D2" w14:textId="77777777" w:rsidR="00CC43BE" w:rsidRDefault="00CC43BE" w:rsidP="00CC43BE"/>
        </w:tc>
        <w:tc>
          <w:tcPr>
            <w:tcW w:w="1000" w:type="pct"/>
          </w:tcPr>
          <w:p w14:paraId="058A54DD" w14:textId="3D2D1283" w:rsidR="00CC43BE" w:rsidRPr="003D3C3F" w:rsidRDefault="00CC43BE" w:rsidP="00CC43BE">
            <w:pPr>
              <w:rPr>
                <w:i/>
                <w:iCs/>
              </w:rPr>
            </w:pPr>
          </w:p>
        </w:tc>
        <w:tc>
          <w:tcPr>
            <w:tcW w:w="1143" w:type="pct"/>
          </w:tcPr>
          <w:p w14:paraId="26E65C35" w14:textId="77777777" w:rsidR="00CC43BE" w:rsidRDefault="00CC43BE" w:rsidP="00CC43BE"/>
        </w:tc>
      </w:tr>
      <w:tr w:rsidR="00CC43BE" w14:paraId="6C997583" w14:textId="77777777" w:rsidTr="00A907D3">
        <w:tc>
          <w:tcPr>
            <w:tcW w:w="1268" w:type="pct"/>
          </w:tcPr>
          <w:p w14:paraId="45236C94" w14:textId="77777777" w:rsidR="00CC43BE" w:rsidRDefault="00CC43BE" w:rsidP="00CC43BE">
            <w:r>
              <w:t>100% review of consent forms</w:t>
            </w:r>
          </w:p>
        </w:tc>
        <w:tc>
          <w:tcPr>
            <w:tcW w:w="1590" w:type="pct"/>
          </w:tcPr>
          <w:p w14:paraId="7B0931EB" w14:textId="77777777" w:rsidR="00CC43BE" w:rsidRDefault="00CC43BE" w:rsidP="00CC43BE"/>
        </w:tc>
        <w:tc>
          <w:tcPr>
            <w:tcW w:w="1000" w:type="pct"/>
          </w:tcPr>
          <w:p w14:paraId="2ACD0181" w14:textId="77777777" w:rsidR="00CC43BE" w:rsidRDefault="00CC43BE" w:rsidP="00CC43BE"/>
        </w:tc>
        <w:tc>
          <w:tcPr>
            <w:tcW w:w="1143" w:type="pct"/>
          </w:tcPr>
          <w:p w14:paraId="15BF7288" w14:textId="77777777" w:rsidR="00CC43BE" w:rsidRDefault="00CC43BE" w:rsidP="00CC43BE"/>
        </w:tc>
      </w:tr>
      <w:tr w:rsidR="00CC43BE" w14:paraId="699E0934" w14:textId="77777777" w:rsidTr="00A907D3">
        <w:tc>
          <w:tcPr>
            <w:tcW w:w="1268" w:type="pct"/>
          </w:tcPr>
          <w:p w14:paraId="563E25F0" w14:textId="77777777" w:rsidR="00CC43BE" w:rsidRDefault="00CC43BE" w:rsidP="00CC43BE">
            <w:r>
              <w:t>Review of credentials, training records, the delegation of responsibility logs (if applicable)</w:t>
            </w:r>
          </w:p>
        </w:tc>
        <w:tc>
          <w:tcPr>
            <w:tcW w:w="1590" w:type="pct"/>
          </w:tcPr>
          <w:p w14:paraId="29425210" w14:textId="77777777" w:rsidR="00CC43BE" w:rsidRDefault="00CC43BE" w:rsidP="00CC43BE"/>
        </w:tc>
        <w:tc>
          <w:tcPr>
            <w:tcW w:w="1000" w:type="pct"/>
          </w:tcPr>
          <w:p w14:paraId="7052FC89" w14:textId="77777777" w:rsidR="00CC43BE" w:rsidRDefault="00CC43BE" w:rsidP="00CC43BE"/>
        </w:tc>
        <w:tc>
          <w:tcPr>
            <w:tcW w:w="1143" w:type="pct"/>
          </w:tcPr>
          <w:p w14:paraId="3AAF13F9" w14:textId="77777777" w:rsidR="00CC43BE" w:rsidRDefault="00CC43BE" w:rsidP="00CC43BE"/>
        </w:tc>
      </w:tr>
      <w:tr w:rsidR="00CC43BE" w14:paraId="2A2FF85C" w14:textId="77777777" w:rsidTr="00A907D3">
        <w:tc>
          <w:tcPr>
            <w:tcW w:w="1268" w:type="pct"/>
          </w:tcPr>
          <w:p w14:paraId="6ED3F03F" w14:textId="77777777" w:rsidR="00CC43BE" w:rsidRDefault="00CC43BE" w:rsidP="00CC43BE">
            <w:r>
              <w:t>Comparison of case report forms (CRF) to source documentation for accuracy and completion</w:t>
            </w:r>
          </w:p>
        </w:tc>
        <w:tc>
          <w:tcPr>
            <w:tcW w:w="1590" w:type="pct"/>
          </w:tcPr>
          <w:p w14:paraId="53B4915A" w14:textId="77777777" w:rsidR="00CC43BE" w:rsidRDefault="00CC43BE" w:rsidP="00CC43BE"/>
        </w:tc>
        <w:tc>
          <w:tcPr>
            <w:tcW w:w="1000" w:type="pct"/>
          </w:tcPr>
          <w:p w14:paraId="51391C43" w14:textId="77777777" w:rsidR="00CC43BE" w:rsidRDefault="00CC43BE" w:rsidP="00CC43BE"/>
        </w:tc>
        <w:tc>
          <w:tcPr>
            <w:tcW w:w="1143" w:type="pct"/>
          </w:tcPr>
          <w:p w14:paraId="16FE05C4" w14:textId="77777777" w:rsidR="00CC43BE" w:rsidRDefault="00CC43BE" w:rsidP="00CC43BE"/>
        </w:tc>
      </w:tr>
      <w:tr w:rsidR="00CC43BE" w14:paraId="1369A759" w14:textId="77777777" w:rsidTr="00A907D3">
        <w:tc>
          <w:tcPr>
            <w:tcW w:w="1268" w:type="pct"/>
          </w:tcPr>
          <w:p w14:paraId="0D57B831" w14:textId="77777777" w:rsidR="00CC43BE" w:rsidRDefault="00CC43BE" w:rsidP="00CC43BE">
            <w:r>
              <w:t>Review of documentation of all adverse events</w:t>
            </w:r>
          </w:p>
        </w:tc>
        <w:tc>
          <w:tcPr>
            <w:tcW w:w="1590" w:type="pct"/>
          </w:tcPr>
          <w:p w14:paraId="7941F050" w14:textId="77777777" w:rsidR="00CC43BE" w:rsidRDefault="00CC43BE" w:rsidP="00CC43BE"/>
        </w:tc>
        <w:tc>
          <w:tcPr>
            <w:tcW w:w="1000" w:type="pct"/>
          </w:tcPr>
          <w:p w14:paraId="71AD15F6" w14:textId="77777777" w:rsidR="00CC43BE" w:rsidRDefault="00CC43BE" w:rsidP="00CC43BE"/>
        </w:tc>
        <w:tc>
          <w:tcPr>
            <w:tcW w:w="1143" w:type="pct"/>
          </w:tcPr>
          <w:p w14:paraId="18306399" w14:textId="77777777" w:rsidR="00CC43BE" w:rsidRDefault="00CC43BE" w:rsidP="00CC43BE"/>
        </w:tc>
      </w:tr>
      <w:tr w:rsidR="00CC43BE" w14:paraId="3C780FCE" w14:textId="77777777" w:rsidTr="00A907D3">
        <w:tc>
          <w:tcPr>
            <w:tcW w:w="1268" w:type="pct"/>
          </w:tcPr>
          <w:p w14:paraId="5745AEBD" w14:textId="77777777" w:rsidR="00CC43BE" w:rsidRDefault="00CC43BE" w:rsidP="00CC43BE">
            <w:r>
              <w:t>Monitoring of critical data points (eligibility, study endpoints, etc.)</w:t>
            </w:r>
          </w:p>
        </w:tc>
        <w:tc>
          <w:tcPr>
            <w:tcW w:w="1590" w:type="pct"/>
          </w:tcPr>
          <w:p w14:paraId="274D6559" w14:textId="77777777" w:rsidR="00CC43BE" w:rsidRDefault="00CC43BE" w:rsidP="00CC43BE"/>
        </w:tc>
        <w:tc>
          <w:tcPr>
            <w:tcW w:w="1000" w:type="pct"/>
          </w:tcPr>
          <w:p w14:paraId="5F35D542" w14:textId="77777777" w:rsidR="00CC43BE" w:rsidRDefault="00CC43BE" w:rsidP="00CC43BE"/>
        </w:tc>
        <w:tc>
          <w:tcPr>
            <w:tcW w:w="1143" w:type="pct"/>
          </w:tcPr>
          <w:p w14:paraId="2F431B38" w14:textId="77777777" w:rsidR="00CC43BE" w:rsidRDefault="00CC43BE" w:rsidP="00CC43BE"/>
        </w:tc>
      </w:tr>
      <w:tr w:rsidR="00CC43BE" w14:paraId="4D1BD33E" w14:textId="77777777" w:rsidTr="00A907D3">
        <w:tc>
          <w:tcPr>
            <w:tcW w:w="1268" w:type="pct"/>
          </w:tcPr>
          <w:p w14:paraId="65033138" w14:textId="77777777" w:rsidR="00CC43BE" w:rsidRDefault="00CC43BE" w:rsidP="00CC43BE">
            <w:r>
              <w:t>Laboratory review of processing and storage of specimens</w:t>
            </w:r>
          </w:p>
        </w:tc>
        <w:tc>
          <w:tcPr>
            <w:tcW w:w="1590" w:type="pct"/>
          </w:tcPr>
          <w:p w14:paraId="468413F3" w14:textId="77777777" w:rsidR="00CC43BE" w:rsidRDefault="00CC43BE" w:rsidP="00CC43BE"/>
        </w:tc>
        <w:tc>
          <w:tcPr>
            <w:tcW w:w="1000" w:type="pct"/>
          </w:tcPr>
          <w:p w14:paraId="53FE2C9D" w14:textId="77777777" w:rsidR="00CC43BE" w:rsidRPr="003D3C3F" w:rsidRDefault="00CC43BE" w:rsidP="00CC43BE">
            <w:pPr>
              <w:rPr>
                <w:i/>
                <w:iCs/>
              </w:rPr>
            </w:pPr>
            <w:r>
              <w:rPr>
                <w:i/>
                <w:iCs/>
              </w:rPr>
              <w:t>Reviewed a</w:t>
            </w:r>
            <w:r w:rsidRPr="003D3C3F">
              <w:rPr>
                <w:i/>
                <w:iCs/>
              </w:rPr>
              <w:t>t first and close-out visits and at least biannually</w:t>
            </w:r>
          </w:p>
        </w:tc>
        <w:tc>
          <w:tcPr>
            <w:tcW w:w="1143" w:type="pct"/>
          </w:tcPr>
          <w:p w14:paraId="59026CFC" w14:textId="77777777" w:rsidR="00CC43BE" w:rsidRDefault="00CC43BE" w:rsidP="00CC43BE"/>
        </w:tc>
      </w:tr>
      <w:tr w:rsidR="00CC43BE" w14:paraId="67517B54" w14:textId="77777777" w:rsidTr="00A907D3">
        <w:tc>
          <w:tcPr>
            <w:tcW w:w="1268" w:type="pct"/>
          </w:tcPr>
          <w:p w14:paraId="3F83C73E" w14:textId="77777777" w:rsidR="00CC43BE" w:rsidRDefault="00CC43BE" w:rsidP="00CC43BE">
            <w:pPr>
              <w:spacing w:before="100" w:beforeAutospacing="1" w:after="100" w:afterAutospacing="1"/>
              <w:jc w:val="both"/>
            </w:pPr>
            <w:r w:rsidRPr="003D3C3F">
              <w:t>Assessment of laboratory specimens stored locally</w:t>
            </w:r>
          </w:p>
        </w:tc>
        <w:tc>
          <w:tcPr>
            <w:tcW w:w="1590" w:type="pct"/>
          </w:tcPr>
          <w:p w14:paraId="3D7F6792" w14:textId="77777777" w:rsidR="00CC43BE" w:rsidRDefault="00CC43BE" w:rsidP="00CC43BE"/>
        </w:tc>
        <w:tc>
          <w:tcPr>
            <w:tcW w:w="1000" w:type="pct"/>
          </w:tcPr>
          <w:p w14:paraId="5BB521E8" w14:textId="77777777" w:rsidR="00CC43BE" w:rsidRDefault="00CC43BE" w:rsidP="00CC43BE">
            <w:pPr>
              <w:rPr>
                <w:i/>
                <w:iCs/>
              </w:rPr>
            </w:pPr>
          </w:p>
        </w:tc>
        <w:tc>
          <w:tcPr>
            <w:tcW w:w="1143" w:type="pct"/>
          </w:tcPr>
          <w:p w14:paraId="4EE2A144" w14:textId="77777777" w:rsidR="00CC43BE" w:rsidRDefault="00CC43BE" w:rsidP="00CC43BE"/>
        </w:tc>
      </w:tr>
      <w:tr w:rsidR="00CC43BE" w14:paraId="35BDEAF0" w14:textId="77777777" w:rsidTr="00A907D3">
        <w:tc>
          <w:tcPr>
            <w:tcW w:w="1268" w:type="pct"/>
          </w:tcPr>
          <w:p w14:paraId="3BF52640" w14:textId="77777777" w:rsidR="00CC43BE" w:rsidRDefault="00CC43BE" w:rsidP="00CC43BE">
            <w:r w:rsidRPr="003D3C3F">
              <w:t>Test article accountability review</w:t>
            </w:r>
          </w:p>
        </w:tc>
        <w:tc>
          <w:tcPr>
            <w:tcW w:w="1590" w:type="pct"/>
          </w:tcPr>
          <w:p w14:paraId="46C92BD5" w14:textId="77777777" w:rsidR="00CC43BE" w:rsidRDefault="00CC43BE" w:rsidP="00CC43BE"/>
        </w:tc>
        <w:tc>
          <w:tcPr>
            <w:tcW w:w="1000" w:type="pct"/>
          </w:tcPr>
          <w:p w14:paraId="2EA36844" w14:textId="77777777" w:rsidR="00CC43BE" w:rsidRDefault="00CC43BE" w:rsidP="00CC43BE">
            <w:pPr>
              <w:rPr>
                <w:i/>
                <w:iCs/>
              </w:rPr>
            </w:pPr>
            <w:r>
              <w:rPr>
                <w:i/>
                <w:iCs/>
              </w:rPr>
              <w:t>Reviewed at f</w:t>
            </w:r>
            <w:r w:rsidRPr="003D3C3F">
              <w:rPr>
                <w:i/>
                <w:iCs/>
              </w:rPr>
              <w:t>irst and close-out visits and at least biannually</w:t>
            </w:r>
          </w:p>
        </w:tc>
        <w:tc>
          <w:tcPr>
            <w:tcW w:w="1143" w:type="pct"/>
          </w:tcPr>
          <w:p w14:paraId="4DE3C308" w14:textId="77777777" w:rsidR="00CC43BE" w:rsidRDefault="00CC43BE" w:rsidP="00CC43BE"/>
        </w:tc>
      </w:tr>
      <w:tr w:rsidR="00CC43BE" w14:paraId="029327DA" w14:textId="77777777" w:rsidTr="00A907D3">
        <w:tc>
          <w:tcPr>
            <w:tcW w:w="1268" w:type="pct"/>
          </w:tcPr>
          <w:p w14:paraId="51EADBA4" w14:textId="77777777" w:rsidR="00CC43BE" w:rsidRDefault="00CC43BE" w:rsidP="00CC43BE">
            <w:r>
              <w:t>A</w:t>
            </w:r>
            <w:r w:rsidRPr="003D3C3F">
              <w:t xml:space="preserve">ccountability logs, dispensing records, and </w:t>
            </w:r>
            <w:r>
              <w:t xml:space="preserve">other </w:t>
            </w:r>
            <w:r w:rsidRPr="003D3C3F">
              <w:t>participant records</w:t>
            </w:r>
            <w:r>
              <w:t xml:space="preserve"> </w:t>
            </w:r>
          </w:p>
        </w:tc>
        <w:tc>
          <w:tcPr>
            <w:tcW w:w="1590" w:type="pct"/>
          </w:tcPr>
          <w:p w14:paraId="39F91658" w14:textId="77777777" w:rsidR="00CC43BE" w:rsidRDefault="00CC43BE" w:rsidP="00CC43BE"/>
        </w:tc>
        <w:tc>
          <w:tcPr>
            <w:tcW w:w="1000" w:type="pct"/>
          </w:tcPr>
          <w:p w14:paraId="23DAF9CC" w14:textId="77777777" w:rsidR="00CC43BE" w:rsidRPr="003D3C3F" w:rsidRDefault="00CC43BE" w:rsidP="00CC43BE">
            <w:pPr>
              <w:rPr>
                <w:i/>
                <w:iCs/>
              </w:rPr>
            </w:pPr>
            <w:r w:rsidRPr="003D3C3F">
              <w:rPr>
                <w:i/>
                <w:iCs/>
              </w:rPr>
              <w:t>At least biannually</w:t>
            </w:r>
          </w:p>
        </w:tc>
        <w:tc>
          <w:tcPr>
            <w:tcW w:w="1143" w:type="pct"/>
          </w:tcPr>
          <w:p w14:paraId="22ADDA0F" w14:textId="77777777" w:rsidR="00CC43BE" w:rsidRDefault="00CC43BE" w:rsidP="00CC43BE"/>
        </w:tc>
      </w:tr>
      <w:tr w:rsidR="00CC43BE" w14:paraId="5AD41DF1" w14:textId="77777777" w:rsidTr="00A907D3">
        <w:tc>
          <w:tcPr>
            <w:tcW w:w="1268" w:type="pct"/>
            <w:shd w:val="clear" w:color="auto" w:fill="D9D9D9" w:themeFill="background1" w:themeFillShade="D9"/>
          </w:tcPr>
          <w:p w14:paraId="626C84B9" w14:textId="5052B454" w:rsidR="00CC43BE" w:rsidRPr="00AD7311" w:rsidRDefault="00CC43BE" w:rsidP="00CC43BE">
            <w:pPr>
              <w:rPr>
                <w:b/>
                <w:bCs/>
              </w:rPr>
            </w:pPr>
            <w:r w:rsidRPr="00AD7311">
              <w:rPr>
                <w:b/>
                <w:bCs/>
              </w:rPr>
              <w:lastRenderedPageBreak/>
              <w:t>For FDA regulated studies, the following requirements apply:</w:t>
            </w:r>
            <w:r w:rsidR="00EF0CA9">
              <w:rPr>
                <w:b/>
                <w:bCs/>
              </w:rPr>
              <w:t>*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14:paraId="782CA5B1" w14:textId="4A5A2EE1" w:rsidR="00CC43BE" w:rsidRPr="00AD7311" w:rsidRDefault="00755EA8" w:rsidP="00CC43BE">
            <w:pPr>
              <w:rPr>
                <w:b/>
                <w:bCs/>
              </w:rPr>
            </w:pPr>
            <w:r w:rsidRPr="00AD7311">
              <w:rPr>
                <w:b/>
                <w:bCs/>
              </w:rPr>
              <w:t>How this Requirement is Met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63DD6B23" w14:textId="77777777" w:rsidR="00CC43BE" w:rsidRPr="00AD7311" w:rsidRDefault="00CC43BE" w:rsidP="00CC43BE">
            <w:pPr>
              <w:rPr>
                <w:b/>
                <w:bCs/>
              </w:rPr>
            </w:pPr>
            <w:r w:rsidRPr="00AD7311">
              <w:rPr>
                <w:b/>
                <w:bCs/>
              </w:rPr>
              <w:t>Timing, frequency, and intensity of monitoring</w:t>
            </w:r>
          </w:p>
        </w:tc>
        <w:tc>
          <w:tcPr>
            <w:tcW w:w="1143" w:type="pct"/>
            <w:shd w:val="clear" w:color="auto" w:fill="D9D9D9" w:themeFill="background1" w:themeFillShade="D9"/>
          </w:tcPr>
          <w:p w14:paraId="40641706" w14:textId="3653B612" w:rsidR="00CC43BE" w:rsidRPr="00AD7311" w:rsidRDefault="00755EA8" w:rsidP="00CC43BE">
            <w:pPr>
              <w:rPr>
                <w:b/>
                <w:bCs/>
              </w:rPr>
            </w:pPr>
            <w:r w:rsidRPr="005063AE">
              <w:rPr>
                <w:b/>
                <w:bCs/>
              </w:rPr>
              <w:t>Responsible Part</w:t>
            </w:r>
            <w:r>
              <w:rPr>
                <w:b/>
                <w:bCs/>
              </w:rPr>
              <w:t>y(ies)</w:t>
            </w:r>
          </w:p>
        </w:tc>
      </w:tr>
      <w:tr w:rsidR="00CC43BE" w14:paraId="618AD5FC" w14:textId="77777777" w:rsidTr="00A907D3">
        <w:tc>
          <w:tcPr>
            <w:tcW w:w="1268" w:type="pct"/>
          </w:tcPr>
          <w:p w14:paraId="168D7B73" w14:textId="77777777" w:rsidR="00CC43BE" w:rsidRDefault="00CC43BE" w:rsidP="00CC43BE">
            <w:r w:rsidRPr="00474EDC">
              <w:t>Monitoring methods (may include centralized, on-site, and self-monitoring)</w:t>
            </w:r>
          </w:p>
        </w:tc>
        <w:tc>
          <w:tcPr>
            <w:tcW w:w="1590" w:type="pct"/>
          </w:tcPr>
          <w:p w14:paraId="4CC59689" w14:textId="77777777" w:rsidR="00CC43BE" w:rsidRDefault="00CC43BE" w:rsidP="00CC43BE"/>
        </w:tc>
        <w:tc>
          <w:tcPr>
            <w:tcW w:w="1000" w:type="pct"/>
          </w:tcPr>
          <w:p w14:paraId="532CE29B" w14:textId="77777777" w:rsidR="00CC43BE" w:rsidRDefault="00CC43BE" w:rsidP="00CC43BE"/>
        </w:tc>
        <w:tc>
          <w:tcPr>
            <w:tcW w:w="1143" w:type="pct"/>
          </w:tcPr>
          <w:p w14:paraId="7BFE302B" w14:textId="77777777" w:rsidR="00CC43BE" w:rsidRDefault="00CC43BE" w:rsidP="00CC43BE"/>
        </w:tc>
      </w:tr>
      <w:tr w:rsidR="00CC43BE" w14:paraId="009327B1" w14:textId="77777777" w:rsidTr="00A907D3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7866426" w14:textId="0183650C" w:rsidR="00EF0CA9" w:rsidRDefault="00EF0CA9" w:rsidP="002D55BA">
            <w:pPr>
              <w:spacing w:after="160" w:line="259" w:lineRule="auto"/>
            </w:pPr>
            <w:r>
              <w:rPr>
                <w:sz w:val="22"/>
                <w:szCs w:val="22"/>
              </w:rPr>
              <w:t>*Note: F</w:t>
            </w:r>
            <w:r w:rsidRPr="0036305B">
              <w:rPr>
                <w:sz w:val="22"/>
                <w:szCs w:val="22"/>
              </w:rPr>
              <w:t xml:space="preserve">DA regulations also apply to FDA-approved drugs and devices when the use of a drug or a device is being evaluated in the course of the study. </w:t>
            </w:r>
            <w:r>
              <w:rPr>
                <w:sz w:val="22"/>
                <w:szCs w:val="22"/>
              </w:rPr>
              <w:br/>
            </w:r>
            <w:r w:rsidRPr="0036305B">
              <w:rPr>
                <w:sz w:val="22"/>
                <w:szCs w:val="22"/>
              </w:rPr>
              <w:t>To learn more</w:t>
            </w:r>
            <w:r>
              <w:rPr>
                <w:sz w:val="22"/>
                <w:szCs w:val="22"/>
              </w:rPr>
              <w:t xml:space="preserve"> visit</w:t>
            </w:r>
            <w:r w:rsidRPr="0036305B">
              <w:rPr>
                <w:sz w:val="22"/>
                <w:szCs w:val="22"/>
              </w:rPr>
              <w:t xml:space="preserve">: </w:t>
            </w:r>
            <w:hyperlink r:id="rId16" w:tgtFrame="_blank" w:tooltip="https://www.irb.emory.edu/guidance/faqs/index.html" w:history="1">
              <w:r w:rsidRPr="0036305B">
                <w:rPr>
                  <w:rStyle w:val="Hyperlink"/>
                  <w:sz w:val="22"/>
                  <w:szCs w:val="22"/>
                </w:rPr>
                <w:t>https://www.irb.emory.edu/guidance/faqs/index.html</w:t>
              </w:r>
            </w:hyperlink>
          </w:p>
          <w:p w14:paraId="6DF6BC85" w14:textId="77777777" w:rsidR="00EF0CA9" w:rsidRDefault="00EF0CA9" w:rsidP="00CC43BE"/>
          <w:p w14:paraId="264001D6" w14:textId="6E3B2491" w:rsidR="00CC43BE" w:rsidRDefault="00CC43BE" w:rsidP="00CC43BE">
            <w:r>
              <w:t>For international studies, y</w:t>
            </w:r>
            <w:r w:rsidRPr="00CC39FC">
              <w:t>ou are required to engage a CRO that is working in the site country and/or to consult with Emory’s legal counsel regarding compliance with the country’s clinical research regulations</w:t>
            </w:r>
            <w:r>
              <w:t>.</w:t>
            </w:r>
          </w:p>
        </w:tc>
      </w:tr>
    </w:tbl>
    <w:p w14:paraId="7254F00D" w14:textId="2CC069BF" w:rsidR="00DB0DB5" w:rsidRPr="005D7D9F" w:rsidRDefault="00593CE3" w:rsidP="00785B35">
      <w:r>
        <w:rPr>
          <w:rFonts w:cstheme="minorHAnsi"/>
        </w:rPr>
        <w:t xml:space="preserve">                                                                                                                       </w:t>
      </w:r>
    </w:p>
    <w:p w14:paraId="73DD0CA0" w14:textId="46CD42EE" w:rsidR="00DB0DB5" w:rsidRDefault="00DB0DB5">
      <w:pPr>
        <w:rPr>
          <w:rFonts w:eastAsia="Times New Roman" w:cstheme="minorHAnsi"/>
        </w:rPr>
      </w:pPr>
      <w:r>
        <w:rPr>
          <w:rFonts w:cstheme="minorHAnsi"/>
        </w:rPr>
        <w:br w:type="page"/>
      </w:r>
    </w:p>
    <w:p w14:paraId="7B51BEF3" w14:textId="546F4C91" w:rsidR="00B740AE" w:rsidRDefault="00EC4D06" w:rsidP="00A907D3">
      <w:pPr>
        <w:pStyle w:val="Heading1"/>
      </w:pPr>
      <w:bookmarkStart w:id="3" w:name="_Appendix_2"/>
      <w:bookmarkStart w:id="4" w:name="_Appendix_3"/>
      <w:bookmarkStart w:id="5" w:name="_Appendix_4"/>
      <w:bookmarkStart w:id="6" w:name="_Monitoring_Table_3"/>
      <w:bookmarkEnd w:id="3"/>
      <w:bookmarkEnd w:id="4"/>
      <w:bookmarkEnd w:id="5"/>
      <w:bookmarkEnd w:id="6"/>
      <w:r>
        <w:lastRenderedPageBreak/>
        <w:t>Monitoring Table</w:t>
      </w:r>
      <w:r w:rsidR="00DB0DB5">
        <w:t xml:space="preserve"> </w:t>
      </w:r>
      <w:r w:rsidR="00735F4F">
        <w:t>3</w:t>
      </w:r>
    </w:p>
    <w:p w14:paraId="713DC800" w14:textId="77777777" w:rsidR="00CD4164" w:rsidRDefault="00CD4164" w:rsidP="00CD4164">
      <w:pPr>
        <w:rPr>
          <w:rFonts w:cstheme="minorHAnsi"/>
        </w:rPr>
      </w:pPr>
      <w:r>
        <w:rPr>
          <w:rFonts w:cstheme="minorHAnsi"/>
        </w:rPr>
        <w:t>A</w:t>
      </w:r>
      <w:r w:rsidRPr="00DB1299">
        <w:rPr>
          <w:rFonts w:cstheme="minorHAnsi"/>
        </w:rPr>
        <w:t>ddress the specific details below</w:t>
      </w:r>
      <w:r>
        <w:rPr>
          <w:rFonts w:cstheme="minorHAnsi"/>
        </w:rPr>
        <w:t xml:space="preserve"> even where there is template text present</w:t>
      </w:r>
      <w:r w:rsidRPr="00DB1299">
        <w:rPr>
          <w:rFonts w:cstheme="minorHAnsi"/>
        </w:rPr>
        <w:t xml:space="preserve">. </w:t>
      </w:r>
      <w:r>
        <w:rPr>
          <w:rFonts w:cstheme="minorHAnsi"/>
        </w:rPr>
        <w:t>Please read the guidance in the gray row first to help inform the plan details. Do not edit any pre-populated answers as these are the IRB’s expectations.</w:t>
      </w:r>
    </w:p>
    <w:p w14:paraId="541ECC70" w14:textId="28E35792" w:rsidR="00CD4164" w:rsidRPr="00CD4164" w:rsidRDefault="00CD4164" w:rsidP="00B740AE">
      <w:pPr>
        <w:rPr>
          <w:rFonts w:cstheme="minorHAnsi"/>
        </w:rPr>
      </w:pPr>
      <w:r w:rsidRPr="00DB1299">
        <w:rPr>
          <w:rFonts w:cstheme="minorHAnsi"/>
        </w:rPr>
        <w:t xml:space="preserve">If </w:t>
      </w:r>
      <w:r>
        <w:rPr>
          <w:rFonts w:cstheme="minorHAnsi"/>
        </w:rPr>
        <w:t xml:space="preserve">a requirement is </w:t>
      </w:r>
      <w:r w:rsidRPr="00DB1299">
        <w:rPr>
          <w:rFonts w:cstheme="minorHAnsi"/>
        </w:rPr>
        <w:t>not applicable, please provide rationale</w:t>
      </w:r>
      <w:r>
        <w:rPr>
          <w:rFonts w:cstheme="minorHAnsi"/>
        </w:rPr>
        <w:t xml:space="preserve">. Note that the identified monitor(s) should be listed on the study’s delegation of authority log.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84"/>
        <w:gridCol w:w="4118"/>
        <w:gridCol w:w="2590"/>
        <w:gridCol w:w="2958"/>
      </w:tblGrid>
      <w:tr w:rsidR="00DB0DB5" w14:paraId="7C0C664F" w14:textId="77777777" w:rsidTr="00A907D3">
        <w:tc>
          <w:tcPr>
            <w:tcW w:w="1268" w:type="pct"/>
          </w:tcPr>
          <w:p w14:paraId="43BBF194" w14:textId="77777777" w:rsidR="00DB0DB5" w:rsidRPr="005063AE" w:rsidRDefault="00DB0DB5" w:rsidP="00790011">
            <w:pPr>
              <w:rPr>
                <w:b/>
                <w:bCs/>
              </w:rPr>
            </w:pPr>
            <w:r w:rsidRPr="005063AE">
              <w:rPr>
                <w:b/>
                <w:bCs/>
              </w:rPr>
              <w:t xml:space="preserve">DSMP </w:t>
            </w:r>
            <w:r>
              <w:rPr>
                <w:b/>
                <w:bCs/>
              </w:rPr>
              <w:t>Requirement</w:t>
            </w:r>
          </w:p>
        </w:tc>
        <w:tc>
          <w:tcPr>
            <w:tcW w:w="1590" w:type="pct"/>
          </w:tcPr>
          <w:p w14:paraId="1C2F8147" w14:textId="77777777" w:rsidR="00DB0DB5" w:rsidRPr="005063AE" w:rsidRDefault="00DB0DB5" w:rsidP="007900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this Requirement is Met </w:t>
            </w:r>
          </w:p>
        </w:tc>
        <w:tc>
          <w:tcPr>
            <w:tcW w:w="1000" w:type="pct"/>
          </w:tcPr>
          <w:p w14:paraId="657F3158" w14:textId="77777777" w:rsidR="00DB0DB5" w:rsidRPr="005063AE" w:rsidRDefault="00DB0DB5" w:rsidP="00790011">
            <w:pPr>
              <w:rPr>
                <w:b/>
                <w:bCs/>
              </w:rPr>
            </w:pPr>
            <w:r w:rsidRPr="005063AE">
              <w:rPr>
                <w:b/>
                <w:bCs/>
              </w:rPr>
              <w:t>Frequency</w:t>
            </w:r>
          </w:p>
        </w:tc>
        <w:tc>
          <w:tcPr>
            <w:tcW w:w="1143" w:type="pct"/>
          </w:tcPr>
          <w:p w14:paraId="5B94F1C8" w14:textId="15F85719" w:rsidR="00DB0DB5" w:rsidRPr="005063AE" w:rsidRDefault="00DB0DB5" w:rsidP="00790011">
            <w:pPr>
              <w:rPr>
                <w:b/>
                <w:bCs/>
              </w:rPr>
            </w:pPr>
            <w:r w:rsidRPr="005063AE">
              <w:rPr>
                <w:b/>
                <w:bCs/>
              </w:rPr>
              <w:t>Responsible Party</w:t>
            </w:r>
            <w:r w:rsidR="004A7932">
              <w:rPr>
                <w:b/>
                <w:bCs/>
              </w:rPr>
              <w:t>(ies)</w:t>
            </w:r>
          </w:p>
        </w:tc>
      </w:tr>
      <w:tr w:rsidR="00DB0DB5" w14:paraId="693E4B14" w14:textId="77777777" w:rsidTr="00A907D3">
        <w:tc>
          <w:tcPr>
            <w:tcW w:w="1268" w:type="pct"/>
            <w:shd w:val="clear" w:color="auto" w:fill="D9D9D9" w:themeFill="background1" w:themeFillShade="D9"/>
          </w:tcPr>
          <w:p w14:paraId="5A691CFB" w14:textId="77777777" w:rsidR="00DB0DB5" w:rsidRDefault="00DB0DB5" w:rsidP="00790011">
            <w:r>
              <w:t xml:space="preserve">Site Monitoring at pre-determined intervals: The Principal Investigator has a responsibility to ensure that the study is following all aspects of the protocol. 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14:paraId="3D1BF172" w14:textId="29AB18C9" w:rsidR="00DB0DB5" w:rsidRPr="00BD782A" w:rsidRDefault="0063090C" w:rsidP="002D55BA">
            <w:pPr>
              <w:rPr>
                <w:i/>
                <w:iCs/>
              </w:rPr>
            </w:pPr>
            <w:r w:rsidRPr="0063090C">
              <w:rPr>
                <w:i/>
                <w:iCs/>
              </w:rPr>
              <w:t xml:space="preserve">There should be a standard operating procedure to review data (whether a sample or 100%) at pre-determined intervals to ensure that there is adequate documentation of critical elements such as eligibility criteria. 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50DB3A57" w14:textId="734A50A3" w:rsidR="00313AB9" w:rsidRDefault="00DB0DB5" w:rsidP="00790011">
            <w:pPr>
              <w:spacing w:before="100" w:beforeAutospacing="1" w:after="100" w:afterAutospacing="1"/>
              <w:rPr>
                <w:i/>
                <w:iCs/>
              </w:rPr>
            </w:pPr>
            <w:r w:rsidRPr="003D3C3F">
              <w:rPr>
                <w:i/>
                <w:iCs/>
              </w:rPr>
              <w:t>At a minimum, a review is required annually when no one has been enrolled or the study is in long term follow up. Additional</w:t>
            </w:r>
            <w:r w:rsidR="00ED726C">
              <w:rPr>
                <w:i/>
                <w:iCs/>
              </w:rPr>
              <w:t xml:space="preserve"> risk-based</w:t>
            </w:r>
            <w:r w:rsidRPr="003D3C3F">
              <w:rPr>
                <w:i/>
                <w:iCs/>
              </w:rPr>
              <w:t xml:space="preserve"> interim monitoring </w:t>
            </w:r>
            <w:r w:rsidR="00ED726C">
              <w:rPr>
                <w:i/>
                <w:iCs/>
              </w:rPr>
              <w:t>may be required at</w:t>
            </w:r>
            <w:r w:rsidRPr="003D3C3F">
              <w:rPr>
                <w:i/>
                <w:iCs/>
              </w:rPr>
              <w:t xml:space="preserve"> least once every 12-24 weeks based on the site activity, to include the possibility of remote monitoring</w:t>
            </w:r>
            <w:r>
              <w:rPr>
                <w:i/>
                <w:iCs/>
              </w:rPr>
              <w:t>. A longer frequency could be acceptable with justification about risk to participants.</w:t>
            </w:r>
          </w:p>
          <w:p w14:paraId="71DE275D" w14:textId="77777777" w:rsidR="00313AB9" w:rsidRDefault="00313AB9" w:rsidP="00313AB9">
            <w:pPr>
              <w:rPr>
                <w:i/>
                <w:iCs/>
              </w:rPr>
            </w:pPr>
            <w:r>
              <w:rPr>
                <w:i/>
                <w:iCs/>
              </w:rPr>
              <w:t>Frequency of review may occur more often, based on the milestones of the research, such as:</w:t>
            </w:r>
          </w:p>
          <w:p w14:paraId="72991C2F" w14:textId="77777777" w:rsidR="00313AB9" w:rsidRDefault="00313AB9" w:rsidP="00313AB9">
            <w:pPr>
              <w:pStyle w:val="ListParagraph"/>
              <w:numPr>
                <w:ilvl w:val="0"/>
                <w:numId w:val="34"/>
              </w:numPr>
              <w:ind w:left="346" w:hanging="255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Initiation of initial enrollment</w:t>
            </w:r>
          </w:p>
          <w:p w14:paraId="76DB2B96" w14:textId="77777777" w:rsidR="00313AB9" w:rsidRDefault="00313AB9" w:rsidP="00313AB9">
            <w:pPr>
              <w:pStyle w:val="ListParagraph"/>
              <w:numPr>
                <w:ilvl w:val="0"/>
                <w:numId w:val="34"/>
              </w:numPr>
              <w:ind w:left="346" w:hanging="255"/>
              <w:rPr>
                <w:i/>
                <w:iCs/>
              </w:rPr>
            </w:pPr>
            <w:r>
              <w:rPr>
                <w:i/>
                <w:iCs/>
              </w:rPr>
              <w:t>During participant interventions</w:t>
            </w:r>
          </w:p>
          <w:p w14:paraId="740A8012" w14:textId="43393C0A" w:rsidR="00313AB9" w:rsidRPr="005063AE" w:rsidRDefault="00313AB9" w:rsidP="00313AB9">
            <w:pPr>
              <w:spacing w:before="100" w:beforeAutospacing="1" w:after="100" w:afterAutospacing="1"/>
              <w:rPr>
                <w:i/>
                <w:iCs/>
              </w:rPr>
            </w:pPr>
          </w:p>
        </w:tc>
        <w:tc>
          <w:tcPr>
            <w:tcW w:w="1143" w:type="pct"/>
            <w:shd w:val="clear" w:color="auto" w:fill="D9D9D9" w:themeFill="background1" w:themeFillShade="D9"/>
          </w:tcPr>
          <w:p w14:paraId="26CBC7A0" w14:textId="3AB3FC44" w:rsidR="00DB0DB5" w:rsidRDefault="00DB0DB5" w:rsidP="00DB0DB5">
            <w:r w:rsidRPr="00BD782A">
              <w:rPr>
                <w:i/>
                <w:iCs/>
              </w:rPr>
              <w:lastRenderedPageBreak/>
              <w:t>Delegate a responsible party for each requirement below</w:t>
            </w:r>
            <w:r>
              <w:rPr>
                <w:i/>
                <w:iCs/>
              </w:rPr>
              <w:t xml:space="preserve">. </w:t>
            </w:r>
            <w:r>
              <w:t>Self-</w:t>
            </w:r>
            <w:r w:rsidR="00ED726C">
              <w:t>assessment</w:t>
            </w:r>
            <w:r>
              <w:t xml:space="preserve"> is acceptable</w:t>
            </w:r>
            <w:r w:rsidR="00755EA8">
              <w:t>.</w:t>
            </w:r>
            <w:r>
              <w:t>*</w:t>
            </w:r>
          </w:p>
          <w:p w14:paraId="72B6166B" w14:textId="33155959" w:rsidR="00DB0DB5" w:rsidRDefault="00DB0DB5" w:rsidP="00DB0DB5">
            <w:r w:rsidRPr="00CC39FC">
              <w:rPr>
                <w:i/>
                <w:iCs/>
                <w:u w:val="single"/>
              </w:rPr>
              <w:t>Self</w:t>
            </w:r>
            <w:r>
              <w:rPr>
                <w:i/>
                <w:iCs/>
                <w:u w:val="single"/>
              </w:rPr>
              <w:t>-</w:t>
            </w:r>
            <w:r w:rsidR="00ED726C">
              <w:rPr>
                <w:i/>
                <w:iCs/>
                <w:u w:val="single"/>
              </w:rPr>
              <w:t>assessment</w:t>
            </w:r>
            <w:r>
              <w:t>:</w:t>
            </w:r>
            <w:r w:rsidRPr="00CC39FC">
              <w:t xml:space="preserve"> a process for self-assessment of protocol compliance and data integrity which can be part of an overall DSMP. </w:t>
            </w:r>
            <w:r>
              <w:t>See</w:t>
            </w:r>
            <w:r w:rsidR="00D50A44">
              <w:t xml:space="preserve"> </w:t>
            </w:r>
            <w:r w:rsidR="00755EA8">
              <w:t>Emory</w:t>
            </w:r>
            <w:r>
              <w:t>’s self-</w:t>
            </w:r>
            <w:r w:rsidR="00ED726C">
              <w:t>assessment</w:t>
            </w:r>
            <w:r>
              <w:t xml:space="preserve"> tool on </w:t>
            </w:r>
            <w:hyperlink r:id="rId17" w:history="1">
              <w:r w:rsidR="00755EA8">
                <w:rPr>
                  <w:rStyle w:val="Hyperlink"/>
                </w:rPr>
                <w:t>this page.</w:t>
              </w:r>
            </w:hyperlink>
            <w:r w:rsidRPr="00CC39FC">
              <w:t xml:space="preserve"> </w:t>
            </w:r>
          </w:p>
          <w:p w14:paraId="51E034B0" w14:textId="4E870A25" w:rsidR="00DB0DB5" w:rsidRDefault="00DB0DB5" w:rsidP="00790011"/>
          <w:p w14:paraId="21523169" w14:textId="77777777" w:rsidR="00DB0DB5" w:rsidRPr="00BD782A" w:rsidRDefault="00DB0DB5" w:rsidP="00790011">
            <w:pPr>
              <w:rPr>
                <w:i/>
                <w:iCs/>
              </w:rPr>
            </w:pPr>
          </w:p>
        </w:tc>
      </w:tr>
      <w:tr w:rsidR="00755EA8" w14:paraId="5DD3A6C4" w14:textId="77777777" w:rsidTr="00A907D3">
        <w:tc>
          <w:tcPr>
            <w:tcW w:w="1268" w:type="pct"/>
          </w:tcPr>
          <w:p w14:paraId="6B9A4DCC" w14:textId="37405627" w:rsidR="00755EA8" w:rsidRDefault="00755EA8" w:rsidP="00755EA8">
            <w:r w:rsidRPr="00493AB1">
              <w:t>Real-time review of participant data during initial data collection.</w:t>
            </w:r>
          </w:p>
        </w:tc>
        <w:tc>
          <w:tcPr>
            <w:tcW w:w="1590" w:type="pct"/>
          </w:tcPr>
          <w:p w14:paraId="19A7721A" w14:textId="77777777" w:rsidR="00755EA8" w:rsidRDefault="00755EA8" w:rsidP="00755EA8"/>
        </w:tc>
        <w:tc>
          <w:tcPr>
            <w:tcW w:w="1000" w:type="pct"/>
          </w:tcPr>
          <w:p w14:paraId="47D1095D" w14:textId="05C13523" w:rsidR="00755EA8" w:rsidRPr="003D3C3F" w:rsidRDefault="00D5242A" w:rsidP="00755EA8">
            <w:pPr>
              <w:rPr>
                <w:i/>
                <w:iCs/>
              </w:rPr>
            </w:pPr>
            <w:r w:rsidRPr="00D5242A">
              <w:rPr>
                <w:i/>
                <w:iCs/>
              </w:rPr>
              <w:t>Expectation is that this happens at the time of data collection</w:t>
            </w:r>
          </w:p>
        </w:tc>
        <w:tc>
          <w:tcPr>
            <w:tcW w:w="1143" w:type="pct"/>
          </w:tcPr>
          <w:p w14:paraId="39611E49" w14:textId="60202999" w:rsidR="00755EA8" w:rsidRDefault="00755EA8" w:rsidP="00755EA8"/>
        </w:tc>
      </w:tr>
      <w:tr w:rsidR="00755EA8" w14:paraId="28A94926" w14:textId="77777777" w:rsidTr="00A907D3">
        <w:tc>
          <w:tcPr>
            <w:tcW w:w="1268" w:type="pct"/>
          </w:tcPr>
          <w:p w14:paraId="15D3387A" w14:textId="77777777" w:rsidR="00755EA8" w:rsidRDefault="00755EA8" w:rsidP="00755EA8">
            <w:r>
              <w:t>100% review of regulatory files</w:t>
            </w:r>
          </w:p>
        </w:tc>
        <w:tc>
          <w:tcPr>
            <w:tcW w:w="1590" w:type="pct"/>
          </w:tcPr>
          <w:p w14:paraId="632A5D9C" w14:textId="77777777" w:rsidR="00755EA8" w:rsidRDefault="00755EA8" w:rsidP="00755EA8"/>
        </w:tc>
        <w:tc>
          <w:tcPr>
            <w:tcW w:w="1000" w:type="pct"/>
          </w:tcPr>
          <w:p w14:paraId="6B5619D6" w14:textId="77777777" w:rsidR="00755EA8" w:rsidRPr="003D3C3F" w:rsidRDefault="00755EA8" w:rsidP="00755EA8">
            <w:pPr>
              <w:rPr>
                <w:i/>
                <w:iCs/>
              </w:rPr>
            </w:pPr>
            <w:r w:rsidRPr="003D3C3F">
              <w:rPr>
                <w:i/>
                <w:iCs/>
              </w:rPr>
              <w:t>Reviewed at a minimum of first and close-out visits</w:t>
            </w:r>
          </w:p>
        </w:tc>
        <w:tc>
          <w:tcPr>
            <w:tcW w:w="1143" w:type="pct"/>
          </w:tcPr>
          <w:p w14:paraId="612A23B9" w14:textId="77777777" w:rsidR="00755EA8" w:rsidRDefault="00755EA8" w:rsidP="00755EA8"/>
        </w:tc>
      </w:tr>
      <w:tr w:rsidR="00755EA8" w14:paraId="518C6B6C" w14:textId="77777777" w:rsidTr="00A907D3">
        <w:tc>
          <w:tcPr>
            <w:tcW w:w="1268" w:type="pct"/>
          </w:tcPr>
          <w:p w14:paraId="01680196" w14:textId="77777777" w:rsidR="00755EA8" w:rsidRDefault="00755EA8" w:rsidP="00755EA8">
            <w:r>
              <w:t>100% review of consent forms</w:t>
            </w:r>
          </w:p>
        </w:tc>
        <w:tc>
          <w:tcPr>
            <w:tcW w:w="1590" w:type="pct"/>
          </w:tcPr>
          <w:p w14:paraId="0E11959C" w14:textId="77777777" w:rsidR="00755EA8" w:rsidRDefault="00755EA8" w:rsidP="00755EA8"/>
        </w:tc>
        <w:tc>
          <w:tcPr>
            <w:tcW w:w="1000" w:type="pct"/>
          </w:tcPr>
          <w:p w14:paraId="53A54B67" w14:textId="77777777" w:rsidR="00755EA8" w:rsidRDefault="00755EA8" w:rsidP="00755EA8"/>
        </w:tc>
        <w:tc>
          <w:tcPr>
            <w:tcW w:w="1143" w:type="pct"/>
          </w:tcPr>
          <w:p w14:paraId="074A8992" w14:textId="77777777" w:rsidR="00755EA8" w:rsidRDefault="00755EA8" w:rsidP="00755EA8"/>
        </w:tc>
      </w:tr>
      <w:tr w:rsidR="00755EA8" w14:paraId="61383AD8" w14:textId="77777777" w:rsidTr="00A907D3">
        <w:tc>
          <w:tcPr>
            <w:tcW w:w="1268" w:type="pct"/>
          </w:tcPr>
          <w:p w14:paraId="1301EFB8" w14:textId="77777777" w:rsidR="00755EA8" w:rsidRDefault="00755EA8" w:rsidP="00755EA8">
            <w:r>
              <w:t>Review of credentials, training records, the delegation of responsibility logs (if applicable)</w:t>
            </w:r>
          </w:p>
        </w:tc>
        <w:tc>
          <w:tcPr>
            <w:tcW w:w="1590" w:type="pct"/>
          </w:tcPr>
          <w:p w14:paraId="4C562562" w14:textId="77777777" w:rsidR="00755EA8" w:rsidRDefault="00755EA8" w:rsidP="00755EA8"/>
        </w:tc>
        <w:tc>
          <w:tcPr>
            <w:tcW w:w="1000" w:type="pct"/>
          </w:tcPr>
          <w:p w14:paraId="1FE4FBA4" w14:textId="77777777" w:rsidR="00755EA8" w:rsidRDefault="00755EA8" w:rsidP="00755EA8"/>
        </w:tc>
        <w:tc>
          <w:tcPr>
            <w:tcW w:w="1143" w:type="pct"/>
          </w:tcPr>
          <w:p w14:paraId="2E9690A8" w14:textId="77777777" w:rsidR="00755EA8" w:rsidRDefault="00755EA8" w:rsidP="00755EA8"/>
        </w:tc>
      </w:tr>
      <w:tr w:rsidR="00755EA8" w14:paraId="237C6686" w14:textId="77777777" w:rsidTr="00A907D3">
        <w:tc>
          <w:tcPr>
            <w:tcW w:w="1268" w:type="pct"/>
          </w:tcPr>
          <w:p w14:paraId="45366B0D" w14:textId="77777777" w:rsidR="00755EA8" w:rsidRDefault="00755EA8" w:rsidP="00755EA8">
            <w:r>
              <w:t>Comparison of case report forms (CRF) to source documentation for accuracy and completion</w:t>
            </w:r>
          </w:p>
        </w:tc>
        <w:tc>
          <w:tcPr>
            <w:tcW w:w="1590" w:type="pct"/>
          </w:tcPr>
          <w:p w14:paraId="53B5B1DB" w14:textId="77777777" w:rsidR="00755EA8" w:rsidRDefault="00755EA8" w:rsidP="00755EA8"/>
        </w:tc>
        <w:tc>
          <w:tcPr>
            <w:tcW w:w="1000" w:type="pct"/>
          </w:tcPr>
          <w:p w14:paraId="7C74FA1E" w14:textId="77777777" w:rsidR="00755EA8" w:rsidRDefault="00755EA8" w:rsidP="00755EA8"/>
        </w:tc>
        <w:tc>
          <w:tcPr>
            <w:tcW w:w="1143" w:type="pct"/>
          </w:tcPr>
          <w:p w14:paraId="2EAC4FC1" w14:textId="77777777" w:rsidR="00755EA8" w:rsidRDefault="00755EA8" w:rsidP="00755EA8"/>
        </w:tc>
      </w:tr>
      <w:tr w:rsidR="00755EA8" w14:paraId="26453DCE" w14:textId="77777777" w:rsidTr="00A907D3">
        <w:tc>
          <w:tcPr>
            <w:tcW w:w="1268" w:type="pct"/>
          </w:tcPr>
          <w:p w14:paraId="7675DA20" w14:textId="77777777" w:rsidR="00755EA8" w:rsidRDefault="00755EA8" w:rsidP="00755EA8">
            <w:r>
              <w:t>Review of documentation of all adverse events</w:t>
            </w:r>
          </w:p>
        </w:tc>
        <w:tc>
          <w:tcPr>
            <w:tcW w:w="1590" w:type="pct"/>
          </w:tcPr>
          <w:p w14:paraId="223DE75A" w14:textId="77777777" w:rsidR="00755EA8" w:rsidRDefault="00755EA8" w:rsidP="00755EA8"/>
        </w:tc>
        <w:tc>
          <w:tcPr>
            <w:tcW w:w="1000" w:type="pct"/>
          </w:tcPr>
          <w:p w14:paraId="3BE12690" w14:textId="77777777" w:rsidR="00755EA8" w:rsidRDefault="00755EA8" w:rsidP="00755EA8"/>
        </w:tc>
        <w:tc>
          <w:tcPr>
            <w:tcW w:w="1143" w:type="pct"/>
          </w:tcPr>
          <w:p w14:paraId="47912500" w14:textId="77777777" w:rsidR="00755EA8" w:rsidRDefault="00755EA8" w:rsidP="00755EA8"/>
        </w:tc>
      </w:tr>
      <w:tr w:rsidR="00755EA8" w14:paraId="6E18A853" w14:textId="77777777" w:rsidTr="00A907D3">
        <w:tc>
          <w:tcPr>
            <w:tcW w:w="1268" w:type="pct"/>
          </w:tcPr>
          <w:p w14:paraId="4960C248" w14:textId="77777777" w:rsidR="00755EA8" w:rsidRDefault="00755EA8" w:rsidP="00755EA8">
            <w:r>
              <w:t>Monitoring of critical data points (eligibility, study endpoints, etc.)</w:t>
            </w:r>
          </w:p>
        </w:tc>
        <w:tc>
          <w:tcPr>
            <w:tcW w:w="1590" w:type="pct"/>
          </w:tcPr>
          <w:p w14:paraId="200A11B6" w14:textId="77777777" w:rsidR="00755EA8" w:rsidRDefault="00755EA8" w:rsidP="00755EA8"/>
        </w:tc>
        <w:tc>
          <w:tcPr>
            <w:tcW w:w="1000" w:type="pct"/>
          </w:tcPr>
          <w:p w14:paraId="3D562685" w14:textId="77777777" w:rsidR="00755EA8" w:rsidRDefault="00755EA8" w:rsidP="00755EA8"/>
        </w:tc>
        <w:tc>
          <w:tcPr>
            <w:tcW w:w="1143" w:type="pct"/>
          </w:tcPr>
          <w:p w14:paraId="2D108705" w14:textId="77777777" w:rsidR="00755EA8" w:rsidRDefault="00755EA8" w:rsidP="00755EA8"/>
        </w:tc>
      </w:tr>
      <w:tr w:rsidR="00755EA8" w14:paraId="5426E33A" w14:textId="77777777" w:rsidTr="00A907D3">
        <w:tc>
          <w:tcPr>
            <w:tcW w:w="1268" w:type="pct"/>
          </w:tcPr>
          <w:p w14:paraId="42FE6C5E" w14:textId="77777777" w:rsidR="00755EA8" w:rsidRDefault="00755EA8" w:rsidP="00755EA8">
            <w:r>
              <w:t>Laboratory review of processing and storage of specimens</w:t>
            </w:r>
          </w:p>
        </w:tc>
        <w:tc>
          <w:tcPr>
            <w:tcW w:w="1590" w:type="pct"/>
          </w:tcPr>
          <w:p w14:paraId="35902180" w14:textId="77777777" w:rsidR="00755EA8" w:rsidRDefault="00755EA8" w:rsidP="00755EA8"/>
        </w:tc>
        <w:tc>
          <w:tcPr>
            <w:tcW w:w="1000" w:type="pct"/>
          </w:tcPr>
          <w:p w14:paraId="7561ECAF" w14:textId="77777777" w:rsidR="00755EA8" w:rsidRPr="003D3C3F" w:rsidRDefault="00755EA8" w:rsidP="00755EA8">
            <w:pPr>
              <w:rPr>
                <w:i/>
                <w:iCs/>
              </w:rPr>
            </w:pPr>
            <w:r>
              <w:rPr>
                <w:i/>
                <w:iCs/>
              </w:rPr>
              <w:t>Reviewed a</w:t>
            </w:r>
            <w:r w:rsidRPr="003D3C3F">
              <w:rPr>
                <w:i/>
                <w:iCs/>
              </w:rPr>
              <w:t>t first and close-out visits and at least biannually</w:t>
            </w:r>
          </w:p>
        </w:tc>
        <w:tc>
          <w:tcPr>
            <w:tcW w:w="1143" w:type="pct"/>
          </w:tcPr>
          <w:p w14:paraId="48C1F6D3" w14:textId="77777777" w:rsidR="00755EA8" w:rsidRDefault="00755EA8" w:rsidP="00755EA8"/>
        </w:tc>
      </w:tr>
      <w:tr w:rsidR="00755EA8" w14:paraId="14A7E7A4" w14:textId="77777777" w:rsidTr="00A907D3">
        <w:tc>
          <w:tcPr>
            <w:tcW w:w="1268" w:type="pct"/>
          </w:tcPr>
          <w:p w14:paraId="72E81B75" w14:textId="77777777" w:rsidR="00755EA8" w:rsidRDefault="00755EA8" w:rsidP="00755EA8">
            <w:pPr>
              <w:spacing w:before="100" w:beforeAutospacing="1" w:after="100" w:afterAutospacing="1"/>
              <w:jc w:val="both"/>
            </w:pPr>
            <w:r w:rsidRPr="003D3C3F">
              <w:t>Assessment of laboratory specimens stored locally</w:t>
            </w:r>
          </w:p>
        </w:tc>
        <w:tc>
          <w:tcPr>
            <w:tcW w:w="1590" w:type="pct"/>
          </w:tcPr>
          <w:p w14:paraId="4D724D37" w14:textId="77777777" w:rsidR="00755EA8" w:rsidRDefault="00755EA8" w:rsidP="00755EA8"/>
        </w:tc>
        <w:tc>
          <w:tcPr>
            <w:tcW w:w="1000" w:type="pct"/>
          </w:tcPr>
          <w:p w14:paraId="35091E9B" w14:textId="77777777" w:rsidR="00755EA8" w:rsidRDefault="00755EA8" w:rsidP="00755EA8">
            <w:pPr>
              <w:rPr>
                <w:i/>
                <w:iCs/>
              </w:rPr>
            </w:pPr>
          </w:p>
        </w:tc>
        <w:tc>
          <w:tcPr>
            <w:tcW w:w="1143" w:type="pct"/>
          </w:tcPr>
          <w:p w14:paraId="39E8022A" w14:textId="77777777" w:rsidR="00755EA8" w:rsidRDefault="00755EA8" w:rsidP="00755EA8"/>
        </w:tc>
      </w:tr>
      <w:tr w:rsidR="00755EA8" w14:paraId="7E23A67B" w14:textId="77777777" w:rsidTr="00A907D3">
        <w:tc>
          <w:tcPr>
            <w:tcW w:w="1268" w:type="pct"/>
          </w:tcPr>
          <w:p w14:paraId="086E4504" w14:textId="77777777" w:rsidR="00755EA8" w:rsidRDefault="00755EA8" w:rsidP="00755EA8">
            <w:r w:rsidRPr="003D3C3F">
              <w:lastRenderedPageBreak/>
              <w:t>Test article accountability review</w:t>
            </w:r>
          </w:p>
        </w:tc>
        <w:tc>
          <w:tcPr>
            <w:tcW w:w="1590" w:type="pct"/>
          </w:tcPr>
          <w:p w14:paraId="095A540B" w14:textId="77777777" w:rsidR="00755EA8" w:rsidRDefault="00755EA8" w:rsidP="00755EA8"/>
        </w:tc>
        <w:tc>
          <w:tcPr>
            <w:tcW w:w="1000" w:type="pct"/>
          </w:tcPr>
          <w:p w14:paraId="6956D634" w14:textId="77777777" w:rsidR="00755EA8" w:rsidRDefault="00755EA8" w:rsidP="00755EA8">
            <w:pPr>
              <w:rPr>
                <w:i/>
                <w:iCs/>
              </w:rPr>
            </w:pPr>
            <w:r>
              <w:rPr>
                <w:i/>
                <w:iCs/>
              </w:rPr>
              <w:t>Reviewed at f</w:t>
            </w:r>
            <w:r w:rsidRPr="003D3C3F">
              <w:rPr>
                <w:i/>
                <w:iCs/>
              </w:rPr>
              <w:t>irst and close-out visits and at least biannually</w:t>
            </w:r>
          </w:p>
        </w:tc>
        <w:tc>
          <w:tcPr>
            <w:tcW w:w="1143" w:type="pct"/>
          </w:tcPr>
          <w:p w14:paraId="4364692C" w14:textId="77777777" w:rsidR="00755EA8" w:rsidRDefault="00755EA8" w:rsidP="00755EA8"/>
        </w:tc>
      </w:tr>
      <w:tr w:rsidR="00755EA8" w14:paraId="7C447A11" w14:textId="77777777" w:rsidTr="00A907D3">
        <w:tc>
          <w:tcPr>
            <w:tcW w:w="1268" w:type="pct"/>
          </w:tcPr>
          <w:p w14:paraId="38B6B34C" w14:textId="77777777" w:rsidR="00755EA8" w:rsidRDefault="00755EA8" w:rsidP="00755EA8">
            <w:r>
              <w:t>A</w:t>
            </w:r>
            <w:r w:rsidRPr="003D3C3F">
              <w:t xml:space="preserve">ccountability logs, dispensing records, and </w:t>
            </w:r>
            <w:r>
              <w:t xml:space="preserve">other </w:t>
            </w:r>
            <w:r w:rsidRPr="003D3C3F">
              <w:t>participant records</w:t>
            </w:r>
            <w:r>
              <w:t xml:space="preserve"> </w:t>
            </w:r>
          </w:p>
        </w:tc>
        <w:tc>
          <w:tcPr>
            <w:tcW w:w="1590" w:type="pct"/>
          </w:tcPr>
          <w:p w14:paraId="540932C4" w14:textId="77777777" w:rsidR="00755EA8" w:rsidRDefault="00755EA8" w:rsidP="00755EA8"/>
        </w:tc>
        <w:tc>
          <w:tcPr>
            <w:tcW w:w="1000" w:type="pct"/>
          </w:tcPr>
          <w:p w14:paraId="7FED5FF7" w14:textId="77777777" w:rsidR="00755EA8" w:rsidRPr="003D3C3F" w:rsidRDefault="00755EA8" w:rsidP="00755EA8">
            <w:pPr>
              <w:rPr>
                <w:i/>
                <w:iCs/>
              </w:rPr>
            </w:pPr>
            <w:r w:rsidRPr="003D3C3F">
              <w:rPr>
                <w:i/>
                <w:iCs/>
              </w:rPr>
              <w:t>At least biannually</w:t>
            </w:r>
          </w:p>
        </w:tc>
        <w:tc>
          <w:tcPr>
            <w:tcW w:w="1143" w:type="pct"/>
          </w:tcPr>
          <w:p w14:paraId="508793F8" w14:textId="77777777" w:rsidR="00755EA8" w:rsidRDefault="00755EA8" w:rsidP="00755EA8"/>
        </w:tc>
      </w:tr>
      <w:tr w:rsidR="00755EA8" w14:paraId="255D435F" w14:textId="77777777" w:rsidTr="00A907D3">
        <w:tc>
          <w:tcPr>
            <w:tcW w:w="1268" w:type="pct"/>
            <w:shd w:val="clear" w:color="auto" w:fill="D9D9D9" w:themeFill="background1" w:themeFillShade="D9"/>
          </w:tcPr>
          <w:p w14:paraId="6A0BCA5F" w14:textId="0C97658B" w:rsidR="00755EA8" w:rsidRDefault="00755EA8" w:rsidP="00755EA8">
            <w:r w:rsidRPr="00903E3B">
              <w:rPr>
                <w:b/>
                <w:bCs/>
              </w:rPr>
              <w:t>For FDA regulated studies, the following requirements apply:</w:t>
            </w:r>
          </w:p>
        </w:tc>
        <w:tc>
          <w:tcPr>
            <w:tcW w:w="1590" w:type="pct"/>
            <w:shd w:val="clear" w:color="auto" w:fill="D9D9D9" w:themeFill="background1" w:themeFillShade="D9"/>
          </w:tcPr>
          <w:p w14:paraId="615F8370" w14:textId="63B70132" w:rsidR="00755EA8" w:rsidRDefault="00755EA8" w:rsidP="00755EA8">
            <w:r w:rsidRPr="00903E3B">
              <w:rPr>
                <w:b/>
                <w:bCs/>
              </w:rPr>
              <w:t>How this Requirement is Met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14:paraId="2842533B" w14:textId="271F3F7E" w:rsidR="00755EA8" w:rsidRDefault="00755EA8" w:rsidP="00755EA8">
            <w:r w:rsidRPr="00903E3B">
              <w:rPr>
                <w:b/>
                <w:bCs/>
              </w:rPr>
              <w:t>Timing, frequency, and intensity of monitoring</w:t>
            </w:r>
          </w:p>
        </w:tc>
        <w:tc>
          <w:tcPr>
            <w:tcW w:w="1143" w:type="pct"/>
            <w:shd w:val="clear" w:color="auto" w:fill="D9D9D9" w:themeFill="background1" w:themeFillShade="D9"/>
          </w:tcPr>
          <w:p w14:paraId="137FB55C" w14:textId="506968DA" w:rsidR="00755EA8" w:rsidRDefault="00755EA8" w:rsidP="00755EA8">
            <w:r w:rsidRPr="005063AE">
              <w:rPr>
                <w:b/>
                <w:bCs/>
              </w:rPr>
              <w:t>Responsible Part</w:t>
            </w:r>
            <w:r>
              <w:rPr>
                <w:b/>
                <w:bCs/>
              </w:rPr>
              <w:t>y(ies)</w:t>
            </w:r>
          </w:p>
        </w:tc>
      </w:tr>
      <w:tr w:rsidR="00755EA8" w14:paraId="0BA03F1C" w14:textId="77777777" w:rsidTr="00A907D3">
        <w:tc>
          <w:tcPr>
            <w:tcW w:w="1268" w:type="pct"/>
          </w:tcPr>
          <w:p w14:paraId="05EE48CA" w14:textId="17808428" w:rsidR="00755EA8" w:rsidRDefault="00755EA8" w:rsidP="00755EA8">
            <w:r w:rsidRPr="00474EDC">
              <w:t>Monitoring methods (may include centralized, on-site, and self-</w:t>
            </w:r>
            <w:r>
              <w:t>assessment</w:t>
            </w:r>
            <w:r w:rsidRPr="00474EDC">
              <w:t>)</w:t>
            </w:r>
          </w:p>
        </w:tc>
        <w:tc>
          <w:tcPr>
            <w:tcW w:w="1590" w:type="pct"/>
          </w:tcPr>
          <w:p w14:paraId="216B267B" w14:textId="77777777" w:rsidR="00755EA8" w:rsidRDefault="00755EA8" w:rsidP="00755EA8"/>
        </w:tc>
        <w:tc>
          <w:tcPr>
            <w:tcW w:w="1000" w:type="pct"/>
          </w:tcPr>
          <w:p w14:paraId="26AFFFE5" w14:textId="77777777" w:rsidR="00755EA8" w:rsidRDefault="00755EA8" w:rsidP="00755EA8"/>
        </w:tc>
        <w:tc>
          <w:tcPr>
            <w:tcW w:w="1143" w:type="pct"/>
          </w:tcPr>
          <w:p w14:paraId="48F8CB68" w14:textId="77777777" w:rsidR="00755EA8" w:rsidRDefault="00755EA8" w:rsidP="00755EA8"/>
        </w:tc>
      </w:tr>
      <w:tr w:rsidR="00755EA8" w14:paraId="61288AA8" w14:textId="77777777" w:rsidTr="00A907D3">
        <w:tc>
          <w:tcPr>
            <w:tcW w:w="5000" w:type="pct"/>
            <w:gridSpan w:val="4"/>
            <w:shd w:val="clear" w:color="auto" w:fill="D9D9D9" w:themeFill="background1" w:themeFillShade="D9"/>
          </w:tcPr>
          <w:p w14:paraId="02515D3A" w14:textId="1841F958" w:rsidR="00EF0CA9" w:rsidRPr="002D55BA" w:rsidRDefault="00EF0CA9" w:rsidP="002D55BA">
            <w:pPr>
              <w:spacing w:after="160" w:line="259" w:lineRule="auto"/>
              <w:rPr>
                <w:sz w:val="22"/>
                <w:szCs w:val="22"/>
              </w:rPr>
            </w:pPr>
            <w:r w:rsidRPr="00EF0CA9">
              <w:rPr>
                <w:sz w:val="22"/>
                <w:szCs w:val="22"/>
              </w:rPr>
              <w:t xml:space="preserve">*Note: FDA regulations also apply to FDA-approved drugs and devices when the use of a drug or a device is being evaluated in the course of the study. </w:t>
            </w:r>
            <w:r w:rsidRPr="00EF0CA9">
              <w:rPr>
                <w:sz w:val="22"/>
                <w:szCs w:val="22"/>
              </w:rPr>
              <w:br/>
              <w:t xml:space="preserve">To learn more visit: </w:t>
            </w:r>
            <w:hyperlink r:id="rId18" w:tgtFrame="_blank" w:tooltip="https://www.irb.emory.edu/guidance/faqs/index.html" w:history="1">
              <w:r w:rsidRPr="00EF0CA9">
                <w:rPr>
                  <w:rStyle w:val="Hyperlink"/>
                  <w:sz w:val="22"/>
                  <w:szCs w:val="22"/>
                </w:rPr>
                <w:t>https://www.irb.emory.edu/guidance/faqs/index.html</w:t>
              </w:r>
            </w:hyperlink>
          </w:p>
          <w:p w14:paraId="1DA1BEFC" w14:textId="363AA179" w:rsidR="00755EA8" w:rsidRPr="002D55BA" w:rsidRDefault="00755EA8" w:rsidP="00755EA8">
            <w:pPr>
              <w:rPr>
                <w:sz w:val="22"/>
                <w:szCs w:val="22"/>
              </w:rPr>
            </w:pPr>
            <w:r w:rsidRPr="002D55BA">
              <w:rPr>
                <w:sz w:val="22"/>
                <w:szCs w:val="22"/>
              </w:rPr>
              <w:t>For international studies, you are required to engage a CRO that is working in the site country and/or to consult with Emory’s legal counsel regarding compliance with the country’s clinical research regulations.</w:t>
            </w:r>
          </w:p>
        </w:tc>
      </w:tr>
    </w:tbl>
    <w:p w14:paraId="4A56942D" w14:textId="77777777" w:rsidR="00DB1299" w:rsidRDefault="00DB1299" w:rsidP="00CC39FC">
      <w:pPr>
        <w:pStyle w:val="ListParagraph"/>
      </w:pPr>
    </w:p>
    <w:sectPr w:rsidR="00DB1299" w:rsidSect="00A907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7FA8B" w14:textId="77777777" w:rsidR="00857040" w:rsidRDefault="00857040" w:rsidP="00D97001">
      <w:pPr>
        <w:spacing w:after="0" w:line="240" w:lineRule="auto"/>
      </w:pPr>
      <w:r>
        <w:separator/>
      </w:r>
    </w:p>
  </w:endnote>
  <w:endnote w:type="continuationSeparator" w:id="0">
    <w:p w14:paraId="60FD750F" w14:textId="77777777" w:rsidR="00857040" w:rsidRDefault="00857040" w:rsidP="00D9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23D2" w14:textId="77777777" w:rsidR="00630CCA" w:rsidRDefault="00630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0567" w14:textId="375F6189" w:rsidR="00E23EA3" w:rsidRDefault="00E23EA3">
    <w:pPr>
      <w:pStyle w:val="Footer"/>
    </w:pPr>
    <w:r>
      <w:t xml:space="preserve">Version Date </w:t>
    </w:r>
    <w:r w:rsidR="00313AB9">
      <w:t>2024-0</w:t>
    </w:r>
    <w:r w:rsidR="00630CCA">
      <w:t>3</w:t>
    </w:r>
    <w:r w:rsidR="00313AB9">
      <w:t>-2</w:t>
    </w:r>
    <w:r w:rsidR="00630CCA"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8E0" w14:textId="77777777" w:rsidR="00630CCA" w:rsidRDefault="00630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B887" w14:textId="77777777" w:rsidR="00857040" w:rsidRDefault="00857040" w:rsidP="00D97001">
      <w:pPr>
        <w:spacing w:after="0" w:line="240" w:lineRule="auto"/>
      </w:pPr>
      <w:r>
        <w:separator/>
      </w:r>
    </w:p>
  </w:footnote>
  <w:footnote w:type="continuationSeparator" w:id="0">
    <w:p w14:paraId="1ABB0B55" w14:textId="77777777" w:rsidR="00857040" w:rsidRDefault="00857040" w:rsidP="00D97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94E1" w14:textId="77777777" w:rsidR="00630CCA" w:rsidRDefault="00630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0CFB" w14:textId="77777777" w:rsidR="00630CCA" w:rsidRDefault="00630C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8518" w14:textId="77777777" w:rsidR="00630CCA" w:rsidRDefault="00630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716"/>
    <w:multiLevelType w:val="hybridMultilevel"/>
    <w:tmpl w:val="1AC4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386"/>
    <w:multiLevelType w:val="hybridMultilevel"/>
    <w:tmpl w:val="09DEF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30548"/>
    <w:multiLevelType w:val="hybridMultilevel"/>
    <w:tmpl w:val="A5F8A0BA"/>
    <w:lvl w:ilvl="0" w:tplc="04090019">
      <w:start w:val="1"/>
      <w:numFmt w:val="lowerLetter"/>
      <w:lvlText w:val="%1.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 w15:restartNumberingAfterBreak="0">
    <w:nsid w:val="09150A37"/>
    <w:multiLevelType w:val="hybridMultilevel"/>
    <w:tmpl w:val="A964FB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656D7"/>
    <w:multiLevelType w:val="hybridMultilevel"/>
    <w:tmpl w:val="6466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04E5D"/>
    <w:multiLevelType w:val="hybridMultilevel"/>
    <w:tmpl w:val="54DAB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F0034A">
      <w:start w:val="1"/>
      <w:numFmt w:val="lowerLetter"/>
      <w:lvlText w:val="%2."/>
      <w:lvlJc w:val="left"/>
      <w:pPr>
        <w:ind w:left="153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770D5"/>
    <w:multiLevelType w:val="hybridMultilevel"/>
    <w:tmpl w:val="4B46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71B34"/>
    <w:multiLevelType w:val="hybridMultilevel"/>
    <w:tmpl w:val="A5486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75FD7"/>
    <w:multiLevelType w:val="hybridMultilevel"/>
    <w:tmpl w:val="80F4B140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9" w15:restartNumberingAfterBreak="0">
    <w:nsid w:val="14775C78"/>
    <w:multiLevelType w:val="multilevel"/>
    <w:tmpl w:val="794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545DFA"/>
    <w:multiLevelType w:val="hybridMultilevel"/>
    <w:tmpl w:val="626A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D661C"/>
    <w:multiLevelType w:val="hybridMultilevel"/>
    <w:tmpl w:val="AFDC00C6"/>
    <w:lvl w:ilvl="0" w:tplc="FB36FD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080479"/>
    <w:multiLevelType w:val="hybridMultilevel"/>
    <w:tmpl w:val="CC86C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4602A"/>
    <w:multiLevelType w:val="hybridMultilevel"/>
    <w:tmpl w:val="2086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67759"/>
    <w:multiLevelType w:val="hybridMultilevel"/>
    <w:tmpl w:val="F5CC3684"/>
    <w:lvl w:ilvl="0" w:tplc="EF981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E5663"/>
    <w:multiLevelType w:val="hybridMultilevel"/>
    <w:tmpl w:val="B338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A3AE8"/>
    <w:multiLevelType w:val="hybridMultilevel"/>
    <w:tmpl w:val="F5CC3684"/>
    <w:lvl w:ilvl="0" w:tplc="EF981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574B9"/>
    <w:multiLevelType w:val="hybridMultilevel"/>
    <w:tmpl w:val="F2DE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80975"/>
    <w:multiLevelType w:val="multilevel"/>
    <w:tmpl w:val="E7EAA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32306E"/>
    <w:multiLevelType w:val="hybridMultilevel"/>
    <w:tmpl w:val="2E909D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DF65DC"/>
    <w:multiLevelType w:val="hybridMultilevel"/>
    <w:tmpl w:val="0016A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C6B36"/>
    <w:multiLevelType w:val="hybridMultilevel"/>
    <w:tmpl w:val="A774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038B3"/>
    <w:multiLevelType w:val="hybridMultilevel"/>
    <w:tmpl w:val="B36E2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367E87"/>
    <w:multiLevelType w:val="hybridMultilevel"/>
    <w:tmpl w:val="19A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6254F"/>
    <w:multiLevelType w:val="hybridMultilevel"/>
    <w:tmpl w:val="0ECC244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0EF711A"/>
    <w:multiLevelType w:val="hybridMultilevel"/>
    <w:tmpl w:val="2654AB28"/>
    <w:lvl w:ilvl="0" w:tplc="D01A2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9122F"/>
    <w:multiLevelType w:val="hybridMultilevel"/>
    <w:tmpl w:val="EFDC4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12297"/>
    <w:multiLevelType w:val="hybridMultilevel"/>
    <w:tmpl w:val="6EB0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819E6"/>
    <w:multiLevelType w:val="hybridMultilevel"/>
    <w:tmpl w:val="1DBC3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B3427D"/>
    <w:multiLevelType w:val="hybridMultilevel"/>
    <w:tmpl w:val="1A08F364"/>
    <w:lvl w:ilvl="0" w:tplc="5B928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17398B"/>
    <w:multiLevelType w:val="hybridMultilevel"/>
    <w:tmpl w:val="97B68B4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780D6D6A"/>
    <w:multiLevelType w:val="hybridMultilevel"/>
    <w:tmpl w:val="7C425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809862">
    <w:abstractNumId w:val="21"/>
  </w:num>
  <w:num w:numId="2" w16cid:durableId="250743780">
    <w:abstractNumId w:val="15"/>
  </w:num>
  <w:num w:numId="3" w16cid:durableId="447697089">
    <w:abstractNumId w:val="13"/>
  </w:num>
  <w:num w:numId="4" w16cid:durableId="780030338">
    <w:abstractNumId w:val="12"/>
  </w:num>
  <w:num w:numId="5" w16cid:durableId="129194162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57828217">
    <w:abstractNumId w:val="3"/>
  </w:num>
  <w:num w:numId="7" w16cid:durableId="1551071275">
    <w:abstractNumId w:val="26"/>
  </w:num>
  <w:num w:numId="8" w16cid:durableId="1762026813">
    <w:abstractNumId w:val="23"/>
  </w:num>
  <w:num w:numId="9" w16cid:durableId="1143421973">
    <w:abstractNumId w:val="11"/>
  </w:num>
  <w:num w:numId="10" w16cid:durableId="422915860">
    <w:abstractNumId w:val="3"/>
  </w:num>
  <w:num w:numId="11" w16cid:durableId="216018148">
    <w:abstractNumId w:val="7"/>
  </w:num>
  <w:num w:numId="12" w16cid:durableId="131480383">
    <w:abstractNumId w:val="4"/>
  </w:num>
  <w:num w:numId="13" w16cid:durableId="950162434">
    <w:abstractNumId w:val="5"/>
  </w:num>
  <w:num w:numId="14" w16cid:durableId="1493257825">
    <w:abstractNumId w:val="19"/>
  </w:num>
  <w:num w:numId="15" w16cid:durableId="968366205">
    <w:abstractNumId w:val="24"/>
  </w:num>
  <w:num w:numId="16" w16cid:durableId="472211632">
    <w:abstractNumId w:val="2"/>
  </w:num>
  <w:num w:numId="17" w16cid:durableId="256332107">
    <w:abstractNumId w:val="6"/>
  </w:num>
  <w:num w:numId="18" w16cid:durableId="135223139">
    <w:abstractNumId w:val="9"/>
  </w:num>
  <w:num w:numId="19" w16cid:durableId="857549870">
    <w:abstractNumId w:val="28"/>
  </w:num>
  <w:num w:numId="20" w16cid:durableId="638657256">
    <w:abstractNumId w:val="31"/>
  </w:num>
  <w:num w:numId="21" w16cid:durableId="1861893958">
    <w:abstractNumId w:val="8"/>
  </w:num>
  <w:num w:numId="22" w16cid:durableId="1158768923">
    <w:abstractNumId w:val="17"/>
  </w:num>
  <w:num w:numId="23" w16cid:durableId="1922251966">
    <w:abstractNumId w:val="14"/>
  </w:num>
  <w:num w:numId="24" w16cid:durableId="99568737">
    <w:abstractNumId w:val="30"/>
  </w:num>
  <w:num w:numId="25" w16cid:durableId="1090468901">
    <w:abstractNumId w:val="0"/>
  </w:num>
  <w:num w:numId="26" w16cid:durableId="102770161">
    <w:abstractNumId w:val="16"/>
  </w:num>
  <w:num w:numId="27" w16cid:durableId="1364525115">
    <w:abstractNumId w:val="20"/>
  </w:num>
  <w:num w:numId="28" w16cid:durableId="694232703">
    <w:abstractNumId w:val="18"/>
  </w:num>
  <w:num w:numId="29" w16cid:durableId="244997220">
    <w:abstractNumId w:val="1"/>
  </w:num>
  <w:num w:numId="30" w16cid:durableId="531920981">
    <w:abstractNumId w:val="27"/>
  </w:num>
  <w:num w:numId="31" w16cid:durableId="1735933995">
    <w:abstractNumId w:val="22"/>
  </w:num>
  <w:num w:numId="32" w16cid:durableId="1754618831">
    <w:abstractNumId w:val="25"/>
  </w:num>
  <w:num w:numId="33" w16cid:durableId="1470509717">
    <w:abstractNumId w:val="29"/>
  </w:num>
  <w:num w:numId="34" w16cid:durableId="1226958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E1"/>
    <w:rsid w:val="000A4198"/>
    <w:rsid w:val="000C7BC0"/>
    <w:rsid w:val="000E0BE2"/>
    <w:rsid w:val="000E4037"/>
    <w:rsid w:val="001904C5"/>
    <w:rsid w:val="001A2B8C"/>
    <w:rsid w:val="0020579F"/>
    <w:rsid w:val="00247967"/>
    <w:rsid w:val="002D55BA"/>
    <w:rsid w:val="00313AB9"/>
    <w:rsid w:val="00383C85"/>
    <w:rsid w:val="003D3145"/>
    <w:rsid w:val="003D3C3F"/>
    <w:rsid w:val="00474EDC"/>
    <w:rsid w:val="00477C10"/>
    <w:rsid w:val="00483646"/>
    <w:rsid w:val="00493AB1"/>
    <w:rsid w:val="004A7932"/>
    <w:rsid w:val="004B6358"/>
    <w:rsid w:val="005063AE"/>
    <w:rsid w:val="005448EC"/>
    <w:rsid w:val="00593CE3"/>
    <w:rsid w:val="005B16FC"/>
    <w:rsid w:val="005D7D9F"/>
    <w:rsid w:val="0063090C"/>
    <w:rsid w:val="00630CCA"/>
    <w:rsid w:val="006A626A"/>
    <w:rsid w:val="006D6A7F"/>
    <w:rsid w:val="0070397A"/>
    <w:rsid w:val="00733EC9"/>
    <w:rsid w:val="00735F4F"/>
    <w:rsid w:val="00755EA8"/>
    <w:rsid w:val="00785B35"/>
    <w:rsid w:val="007D2E8D"/>
    <w:rsid w:val="007E2A70"/>
    <w:rsid w:val="00824BB6"/>
    <w:rsid w:val="008334BC"/>
    <w:rsid w:val="00857040"/>
    <w:rsid w:val="00887B9E"/>
    <w:rsid w:val="00892C11"/>
    <w:rsid w:val="008A0A6D"/>
    <w:rsid w:val="008B17C1"/>
    <w:rsid w:val="008B6712"/>
    <w:rsid w:val="008C48AB"/>
    <w:rsid w:val="008F4839"/>
    <w:rsid w:val="00943BE1"/>
    <w:rsid w:val="0098503F"/>
    <w:rsid w:val="009B26DF"/>
    <w:rsid w:val="00A3568F"/>
    <w:rsid w:val="00A53BE0"/>
    <w:rsid w:val="00A7257E"/>
    <w:rsid w:val="00A75090"/>
    <w:rsid w:val="00A907D3"/>
    <w:rsid w:val="00AD7311"/>
    <w:rsid w:val="00B13E14"/>
    <w:rsid w:val="00B740AE"/>
    <w:rsid w:val="00BD3423"/>
    <w:rsid w:val="00BD782A"/>
    <w:rsid w:val="00C20BC0"/>
    <w:rsid w:val="00C501CC"/>
    <w:rsid w:val="00C9111C"/>
    <w:rsid w:val="00CC39FC"/>
    <w:rsid w:val="00CC43BE"/>
    <w:rsid w:val="00CD4164"/>
    <w:rsid w:val="00D26DAE"/>
    <w:rsid w:val="00D4221C"/>
    <w:rsid w:val="00D50A44"/>
    <w:rsid w:val="00D5242A"/>
    <w:rsid w:val="00D97001"/>
    <w:rsid w:val="00DB0DB5"/>
    <w:rsid w:val="00DB1299"/>
    <w:rsid w:val="00DC0AFD"/>
    <w:rsid w:val="00E23EA3"/>
    <w:rsid w:val="00E42E31"/>
    <w:rsid w:val="00E644D0"/>
    <w:rsid w:val="00EA03C5"/>
    <w:rsid w:val="00EC4D06"/>
    <w:rsid w:val="00EC580B"/>
    <w:rsid w:val="00ED726C"/>
    <w:rsid w:val="00EF0CA9"/>
    <w:rsid w:val="00F067C5"/>
    <w:rsid w:val="00F16E61"/>
    <w:rsid w:val="00F23A8C"/>
    <w:rsid w:val="00F5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F164"/>
  <w15:chartTrackingRefBased/>
  <w15:docId w15:val="{E7608D01-0E3F-4CDA-84A8-E06763F3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16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43B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BE1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94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7967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70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970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97001"/>
    <w:rPr>
      <w:vertAlign w:val="superscript"/>
    </w:rPr>
  </w:style>
  <w:style w:type="table" w:styleId="GridTable1Light-Accent5">
    <w:name w:val="Grid Table 1 Light Accent 5"/>
    <w:basedOn w:val="TableNormal"/>
    <w:uiPriority w:val="46"/>
    <w:rsid w:val="00D9700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itle">
    <w:name w:val="Title"/>
    <w:basedOn w:val="Heading1"/>
    <w:next w:val="Normal"/>
    <w:link w:val="TitleChar"/>
    <w:uiPriority w:val="10"/>
    <w:qFormat/>
    <w:rsid w:val="00887B9E"/>
    <w:pPr>
      <w:spacing w:before="0"/>
    </w:pPr>
    <w:rPr>
      <w:rFonts w:ascii="Ebrima" w:hAnsi="Ebrima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87B9E"/>
    <w:rPr>
      <w:rFonts w:ascii="Ebrima" w:eastAsiaTheme="majorEastAsia" w:hAnsi="Ebrima" w:cstheme="majorBidi"/>
      <w:b/>
      <w:bCs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77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7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7C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C1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B12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735F4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E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EA3"/>
    <w:rPr>
      <w:sz w:val="24"/>
      <w:szCs w:val="24"/>
    </w:rPr>
  </w:style>
  <w:style w:type="paragraph" w:styleId="Revision">
    <w:name w:val="Revision"/>
    <w:hidden/>
    <w:uiPriority w:val="99"/>
    <w:semiHidden/>
    <w:rsid w:val="00313AB9"/>
    <w:pPr>
      <w:spacing w:after="0"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F0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irb.emory.edu/guidance/faqs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b@emory.edu" TargetMode="External"/><Relationship Id="rId12" Type="http://schemas.openxmlformats.org/officeDocument/2006/relationships/header" Target="header3.xml"/><Relationship Id="rId17" Type="http://schemas.openxmlformats.org/officeDocument/2006/relationships/hyperlink" Target="https://www.ctac.emory.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rb.emory.edu/guidance/faqs/index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irb.emory.edu/guidance/faqs/index.html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ctac.emory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1934</Words>
  <Characters>11065</Characters>
  <Application>Microsoft Office Word</Application>
  <DocSecurity>0</DocSecurity>
  <Lines>235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Blackburn, Jessica</dc:creator>
  <cp:keywords/>
  <dc:description/>
  <cp:lastModifiedBy>Rotterman, Briana Devaser</cp:lastModifiedBy>
  <cp:revision>11</cp:revision>
  <dcterms:created xsi:type="dcterms:W3CDTF">2024-03-11T13:32:00Z</dcterms:created>
  <dcterms:modified xsi:type="dcterms:W3CDTF">2024-03-26T19:07:00Z</dcterms:modified>
</cp:coreProperties>
</file>