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spacing w:line="216" w:lineRule="atLeast"/>
        <w:rPr>
          <w:rFonts w:ascii="Calibri" w:cs="Calibri" w:hAnsi="Calibri" w:eastAsia="Calibri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line="216" w:lineRule="atLeast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Emory University</w:t>
      </w:r>
    </w:p>
    <w:p>
      <w:pPr>
        <w:pStyle w:val="Body"/>
        <w:shd w:val="clear" w:color="auto" w:fill="ffffff"/>
        <w:spacing w:line="216" w:lineRule="atLeast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eelawadee UI" w:cs="Leelawadee UI" w:hAnsi="Leelawadee UI" w:eastAsia="Leelawadee UI"/>
          <w:b w:val="1"/>
          <w:bCs w:val="1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หนังสือยินยอมเข้าร่วมในการวิจัย</w:t>
      </w:r>
    </w:p>
    <w:p>
      <w:pPr>
        <w:pStyle w:val="Body"/>
        <w:shd w:val="clear" w:color="auto" w:fill="ffffff"/>
        <w:spacing w:before="192" w:after="192" w:line="225" w:lineRule="atLeas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คุณกำลังถูกขอให้เข้าร่วมในการศึกษาวิจัย</w:t>
      </w:r>
    </w:p>
    <w:p>
      <w:pPr>
        <w:pStyle w:val="Body"/>
        <w:shd w:val="clear" w:color="auto" w:fill="ffffff"/>
        <w:spacing w:before="192" w:after="192" w:line="225" w:lineRule="atLeas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ก่อนที่คุณจะยินยอม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ผู้วิจัยจะต้องแจ้งให้คุณทราบเกี่ยวกับ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(i)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วัตถุประสงค์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ขั้นตอนและระยะเวลาในการวิจัย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(ii)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กระบวนการใด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ๆ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ที่เป็นการทดลอง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(iii)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ความเสี่ยงใด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ๆ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ที่คาดไม่ถึง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ความไม่สะดวกสบาย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และผลประโยชน์ของการวิจัย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(iv)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กระบวนการหรือการปฏิบัติทางเลือกที่อาจทำให้เกิดผลดี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และ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(v)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วิธีการเก็บรักษาความลับ</w:t>
      </w:r>
    </w:p>
    <w:p>
      <w:pPr>
        <w:pStyle w:val="Body"/>
        <w:shd w:val="clear" w:color="auto" w:fill="ffffff"/>
        <w:spacing w:before="192" w:after="192" w:line="225" w:lineRule="atLeas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หากคุณยินยอม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ผู้วิจัยต้องแจ้งให้คุณทราบเกี่ยวกับ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(i)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ค่าสินไหมทดแทนหรือการรักษาพยาบาลหากเกิดการบาดเจ็บ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(ii)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โอกาสของความเสี่ยงที่คาดไม่ถึง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(iii)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สถานการณ์ที่ผู้วิจัยอาจยุติการเข้าร่วมของคุณ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(iv)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ค่าใช้จ่ายเพิ่มเติมใด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ๆ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ที่เกิดขึ้นกับคุณ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(v)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ผลลัพธ์ที่จะเกิดขึ้นหากคุณตัดสินใจยุติการเข้าร่วมของคุณ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(vi)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ช่วงเวลาที่คุณจะได้รับรับทราบเกี่ยวกับผลการวิจัยใหม่ที่อาจส่งผลต่อเจตนารม</w:t>
      </w:r>
      <w:r>
        <w:rPr>
          <w:rFonts w:ascii="Leelawadee UI" w:cs="Leelawadee UI" w:hAnsi="Leelawadee UI" w:eastAsia="Leelawadee U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ณ์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ในการเข้าร่วมของคุณ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และ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(vii)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จำนวนผู้ที่</w:t>
      </w:r>
      <w:r>
        <w:rPr>
          <w:rFonts w:ascii="Leelawadee UI" w:cs="Leelawadee UI" w:hAnsi="Leelawadee UI" w:eastAsia="Leelawadee U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เข้า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ร่วมในการศึกษา</w:t>
      </w:r>
    </w:p>
    <w:p>
      <w:pPr>
        <w:pStyle w:val="Body"/>
        <w:shd w:val="clear" w:color="auto" w:fill="ffffff"/>
        <w:spacing w:before="192" w:after="192" w:line="225" w:lineRule="atLeas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หากคุณยินยอมเข้าร่วม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คุณจะต้องได้รับสำเนาเอกสารที่ลงลายมือชื่อนี้และสรุปผลการวิจัยที่เป็นลายลักษณ์อักษร</w:t>
      </w:r>
    </w:p>
    <w:p>
      <w:pPr>
        <w:pStyle w:val="Body"/>
        <w:shd w:val="clear" w:color="auto" w:fill="ffffff"/>
        <w:spacing w:line="225" w:lineRule="atLeas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คุณสามารถติดต่อ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____________________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ได้ที่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ตลอดเวลาที่คุณมีคำถามเกี่ยวกับการวิจัย</w:t>
      </w:r>
    </w:p>
    <w:p>
      <w:pPr>
        <w:pStyle w:val="Body"/>
        <w:shd w:val="clear" w:color="auto" w:fill="ffffff"/>
        <w:spacing w:line="225" w:lineRule="atLeas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line="225" w:lineRule="atLeast"/>
        <w:rPr>
          <w:rFonts w:ascii="Calibri" w:cs="Calibri" w:hAnsi="Calibri" w:eastAsia="Calibri"/>
          <w:outline w:val="0"/>
          <w:color w:val="000000"/>
          <w:spacing w:val="-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eelawadee UI" w:cs="Leelawadee UI" w:hAnsi="Leelawadee UI" w:eastAsia="Leelawadee UI"/>
          <w:outline w:val="0"/>
          <w:color w:val="000000"/>
          <w:spacing w:val="-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คุณสามารถติดต่อ</w:t>
      </w:r>
      <w:r>
        <w:rPr>
          <w:rFonts w:ascii="Calibri" w:hAnsi="Calibri"/>
          <w:outline w:val="0"/>
          <w:color w:val="000000"/>
          <w:spacing w:val="-3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Emory University IRB </w:t>
      </w:r>
      <w:r>
        <w:rPr>
          <w:rFonts w:ascii="Leelawadee UI" w:cs="Leelawadee UI" w:hAnsi="Leelawadee UI" w:eastAsia="Leelawadee UI"/>
          <w:outline w:val="0"/>
          <w:color w:val="000000"/>
          <w:spacing w:val="-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ได้ที่</w:t>
      </w:r>
      <w:r>
        <w:rPr>
          <w:rFonts w:ascii="Calibri" w:hAnsi="Calibri"/>
          <w:outline w:val="0"/>
          <w:color w:val="000000"/>
          <w:spacing w:val="-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404-712-0720 </w:t>
      </w:r>
      <w:r>
        <w:rPr>
          <w:rFonts w:ascii="Leelawadee UI" w:cs="Leelawadee UI" w:hAnsi="Leelawadee UI" w:eastAsia="Leelawadee UI"/>
          <w:outline w:val="0"/>
          <w:color w:val="000000"/>
          <w:spacing w:val="-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หากคุณมีคำถามเกี่ยวกับสิทธิของคุณในฐานะผู้ร่วมวิจัยหรือควรทำอย่างไร</w:t>
      </w:r>
      <w:r>
        <w:rPr>
          <w:rFonts w:ascii="Leelawadee UI" w:cs="Leelawadee UI" w:hAnsi="Leelawadee UI" w:eastAsia="Leelawadee UI"/>
          <w:outline w:val="0"/>
          <w:color w:val="000000"/>
          <w:spacing w:val="-4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หาก</w:t>
      </w:r>
      <w:r>
        <w:rPr>
          <w:rFonts w:ascii="Leelawadee UI" w:cs="Leelawadee UI" w:hAnsi="Leelawadee UI" w:eastAsia="Leelawadee UI"/>
          <w:outline w:val="0"/>
          <w:color w:val="000000"/>
          <w:spacing w:val="-3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ได้รับบาดเจ็บ</w:t>
      </w:r>
    </w:p>
    <w:p>
      <w:pPr>
        <w:pStyle w:val="Body"/>
        <w:shd w:val="clear" w:color="auto" w:fill="ffffff"/>
        <w:spacing w:before="192" w:after="192" w:line="225" w:lineRule="atLeas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การเข้าร่วมในการวิจัยครั้งนี้เป็นความสมัครใจของคุณและคุณจะไม่ถูกลงโทษหรือเสียผลประโยชน์หากคุณปฏิเสธที่จะเข้าร่วมหรือตัดสินใจยุติการเข้าร่วม</w:t>
      </w:r>
    </w:p>
    <w:p>
      <w:pPr>
        <w:pStyle w:val="Body"/>
        <w:shd w:val="clear" w:color="auto" w:fill="ffffff"/>
        <w:spacing w:before="192" w:after="192" w:line="225" w:lineRule="atLeas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การเซ็นเอกสารนี้หมายความว่าการวิจัย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รวมถึงข้อมูลข้างต้นได้รับการอธิบายให้คุณทราบด้วยวาจาแล้ว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Leelawadee UI" w:cs="Leelawadee UI" w:hAnsi="Leelawadee UI" w:eastAsia="Leelawadee U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และคุณตกลงที่จะเข้าร่วมด้วยความสมัครใจ</w:t>
      </w:r>
    </w:p>
    <w:p>
      <w:pPr>
        <w:pStyle w:val="Body"/>
        <w:shd w:val="clear" w:color="auto" w:fill="ffffff"/>
        <w:spacing w:before="192" w:after="192" w:line="225" w:lineRule="atLeas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before="192" w:after="192" w:line="225" w:lineRule="atLeas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_____________________________</w:t>
        <w:tab/>
        <w:t>_________________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Leelawadee UI" w:cs="Leelawadee UI" w:hAnsi="Leelawadee UI" w:eastAsia="Leelawadee UI"/>
          <w:sz w:val="22"/>
          <w:szCs w:val="22"/>
          <w:rtl w:val="0"/>
        </w:rPr>
        <w:t>ลายเซ็นผู้เข้าร่วม</w:t>
      </w:r>
      <w:r>
        <w:rPr>
          <w:rFonts w:ascii="Calibri" w:cs="Calibri" w:hAnsi="Calibri" w:eastAsia="Calibri"/>
          <w:sz w:val="22"/>
          <w:szCs w:val="22"/>
        </w:rPr>
        <w:tab/>
        <w:tab/>
        <w:tab/>
        <w:tab/>
      </w:r>
      <w:r>
        <w:rPr>
          <w:rFonts w:ascii="Leelawadee UI" w:cs="Leelawadee UI" w:hAnsi="Leelawadee UI" w:eastAsia="Leelawadee UI"/>
          <w:sz w:val="22"/>
          <w:szCs w:val="22"/>
          <w:rtl w:val="0"/>
        </w:rPr>
        <w:t>วันที่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_____________________________</w:t>
        <w:tab/>
        <w:t>_________________</w:t>
      </w:r>
    </w:p>
    <w:p>
      <w:pPr>
        <w:pStyle w:val="Body"/>
      </w:pPr>
      <w:r>
        <w:rPr>
          <w:rFonts w:ascii="Leelawadee UI" w:cs="Leelawadee UI" w:hAnsi="Leelawadee UI" w:eastAsia="Leelawadee UI"/>
          <w:sz w:val="22"/>
          <w:szCs w:val="22"/>
          <w:rtl w:val="0"/>
        </w:rPr>
        <w:t>ลายเซ็นพยาน</w:t>
      </w:r>
      <w:r>
        <w:rPr>
          <w:rFonts w:ascii="Calibri" w:cs="Calibri" w:hAnsi="Calibri" w:eastAsia="Calibri"/>
          <w:sz w:val="22"/>
          <w:szCs w:val="22"/>
        </w:rPr>
        <w:tab/>
        <w:tab/>
        <w:tab/>
        <w:tab/>
      </w:r>
      <w:r>
        <w:rPr>
          <w:rFonts w:ascii="Leelawadee UI" w:cs="Leelawadee UI" w:hAnsi="Leelawadee UI" w:eastAsia="Leelawadee UI"/>
          <w:sz w:val="22"/>
          <w:szCs w:val="22"/>
          <w:rtl w:val="0"/>
        </w:rPr>
        <w:t>วันที่</w:t>
      </w:r>
    </w:p>
    <w:sectPr>
      <w:headerReference w:type="default" r:id="rId4"/>
      <w:footerReference w:type="default" r:id="rId5"/>
      <w:pgSz w:w="12240" w:h="15840" w:orient="portrait"/>
      <w:pgMar w:top="189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Leelawade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  <w:rPr>
        <w:i w:val="1"/>
        <w:iCs w:val="1"/>
        <w:sz w:val="18"/>
        <w:szCs w:val="18"/>
      </w:rPr>
    </w:pPr>
    <w:r>
      <w:rPr>
        <w:sz w:val="18"/>
        <w:szCs w:val="18"/>
      </w:rPr>
      <mc:AlternateContent>
        <mc:Choice Requires="wps">
          <w:drawing xmlns:a="http://schemas.openxmlformats.org/drawingml/2006/main">
            <wp:inline distT="0" distB="0" distL="0" distR="0">
              <wp:extent cx="5943600" cy="1905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7" style="visibility:visible;width:468.0pt;height:1.5pt;">
              <v:fill color="#ACA899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  <w:r>
      <w:rPr>
        <w:sz w:val="18"/>
        <w:szCs w:val="18"/>
        <w:rtl w:val="0"/>
        <w:lang w:val="en-US"/>
      </w:rPr>
      <w:t>Emory University</w:t>
    </w:r>
    <w:r>
      <w:rPr>
        <w:sz w:val="18"/>
        <w:szCs w:val="18"/>
      </w:rPr>
      <w:br w:type="textWrapping"/>
    </w:r>
    <w:r>
      <w:rPr>
        <w:sz w:val="18"/>
        <w:szCs w:val="18"/>
        <w:rtl w:val="0"/>
        <w:lang w:val="en-US"/>
      </w:rPr>
      <w:t>1599 Clifton Road, 5th Floor - Atlanta, Georgia 30322</w:t>
    </w:r>
    <w:r>
      <w:rPr>
        <w:sz w:val="18"/>
        <w:szCs w:val="18"/>
      </w:rPr>
      <w:br w:type="textWrapping"/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8"/>
        <w:szCs w:val="18"/>
        <w:rtl w:val="0"/>
      </w:rPr>
      <w:t>โทร</w:t>
    </w:r>
    <w:r>
      <w:rPr>
        <w:sz w:val="18"/>
        <w:szCs w:val="18"/>
        <w:rtl w:val="0"/>
      </w:rPr>
      <w:t xml:space="preserve">: 404.712.0720 -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8"/>
        <w:szCs w:val="18"/>
        <w:rtl w:val="0"/>
      </w:rPr>
      <w:t>แฟกซ์</w:t>
    </w:r>
    <w:r>
      <w:rPr>
        <w:sz w:val="18"/>
        <w:szCs w:val="18"/>
        <w:rtl w:val="0"/>
      </w:rPr>
      <w:t xml:space="preserve">: 404.727.1358 -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8"/>
        <w:szCs w:val="18"/>
        <w:rtl w:val="0"/>
      </w:rPr>
      <w:t>อีเมล</w:t>
    </w:r>
    <w:r>
      <w:rPr>
        <w:sz w:val="18"/>
        <w:szCs w:val="18"/>
        <w:rtl w:val="0"/>
      </w:rPr>
      <w:t xml:space="preserve">: irb@emory.edu -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8"/>
        <w:szCs w:val="18"/>
        <w:rtl w:val="0"/>
      </w:rPr>
      <w:t>เว็บไซต์</w:t>
    </w:r>
    <w:r>
      <w:rPr>
        <w:sz w:val="18"/>
        <w:szCs w:val="18"/>
        <w:rtl w:val="0"/>
        <w:lang w:val="en-US"/>
      </w:rPr>
      <w:t>: http://www.irb.emory.edu</w:t>
    </w:r>
    <w:r>
      <w:rPr>
        <w:sz w:val="18"/>
        <w:szCs w:val="18"/>
      </w:rPr>
      <w:br w:type="textWrapping"/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8"/>
        <w:szCs w:val="18"/>
        <w:rtl w:val="0"/>
      </w:rPr>
      <w:t>มหาวิทยาลัยที่ให้โอกาสที่เท่าเทียมและความเสมอภาค</w:t>
    </w:r>
  </w:p>
  <w:p>
    <w:pPr>
      <w:pStyle w:val="Body"/>
    </w:pPr>
    <w:r>
      <w:rPr>
        <w:i w:val="1"/>
        <w:iCs w:val="1"/>
        <w:sz w:val="18"/>
        <w:szCs w:val="18"/>
        <w:rtl w:val="1"/>
        <w:lang w:val="ar-SA" w:bidi="ar-SA"/>
      </w:rPr>
      <w:t>Thai</w:t>
    </w:r>
    <w:r>
      <w:rPr>
        <w:i w:val="1"/>
        <w:iCs w:val="1"/>
        <w:sz w:val="18"/>
        <w:szCs w:val="18"/>
        <w:rtl w:val="0"/>
        <w:lang w:val="de-DE"/>
      </w:rPr>
      <w:t xml:space="preserve"> - Version 5/8/2014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rPr>
        <w:outline w:val="0"/>
        <w:color w:val="a6a6a6"/>
        <w:u w:color="a6a6a6"/>
        <w14:textFill>
          <w14:solidFill>
            <w14:srgbClr w14:val="A6A6A6"/>
          </w14:solidFill>
        </w14:textFill>
      </w:rPr>
    </w:pPr>
    <w:r>
      <w:rPr>
        <w:outline w:val="0"/>
        <w:color w:val="a6a6a6"/>
        <w:u w:color="a6a6a6"/>
        <w14:textFill>
          <w14:solidFill>
            <w14:srgbClr w14:val="A6A6A6"/>
          </w14:solidFill>
        </w14:textFill>
      </w:rPr>
      <w:drawing xmlns:a="http://schemas.openxmlformats.org/drawingml/2006/main">
        <wp:inline distT="0" distB="0" distL="0" distR="0">
          <wp:extent cx="3184632" cy="544536"/>
          <wp:effectExtent l="0" t="0" r="0" b="0"/>
          <wp:docPr id="1073741825" name="officeArt object" descr="C:\Users\kwack\AppData\Local\Microsoft\Windows\Temporary Internet Files\Content.Word\Letterhead IRB - Higher Qualit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kwack\AppData\Local\Microsoft\Windows\Temporary Internet Files\Content.Word\Letterhead IRB - Higher Quality.jpg" descr="C:\Users\kwack\AppData\Local\Microsoft\Windows\Temporary Internet Files\Content.Word\Letterhead IRB - Higher Qualit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632" cy="5445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9340"/>
        <w:tab w:val="clear" w:pos="9360"/>
      </w:tabs>
    </w:pPr>
    <w:r>
      <w:rPr>
        <w:outline w:val="0"/>
        <w:color w:val="a6a6a6"/>
        <w:u w:color="a6a6a6"/>
        <w14:textFill>
          <w14:solidFill>
            <w14:srgbClr w14:val="A6A6A6"/>
          </w14:solidFill>
        </w14:textFill>
      </w:rPr>
      <mc:AlternateContent>
        <mc:Choice Requires="wps">
          <w:drawing xmlns:a="http://schemas.openxmlformats.org/drawingml/2006/main">
            <wp:inline distT="0" distB="0" distL="0" distR="0">
              <wp:extent cx="5943600" cy="1905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468.0pt;height:1.5pt;">
              <v:fill color="#ACA899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